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2E748" w14:textId="77777777" w:rsidR="008B0BD0" w:rsidRDefault="008B0BD0">
      <w:pPr>
        <w:pStyle w:val="affffffc"/>
        <w:framePr w:wrap="around"/>
        <w:rPr>
          <w:rFonts w:ascii="Times New Roman"/>
        </w:rPr>
      </w:pPr>
    </w:p>
    <w:p w14:paraId="771FB295" w14:textId="77777777" w:rsidR="008B0BD0" w:rsidRDefault="00000000">
      <w:pPr>
        <w:pStyle w:val="affffffc"/>
        <w:framePr w:wrap="around"/>
      </w:pPr>
      <w:r>
        <w:rPr>
          <w:rFonts w:ascii="Times New Roman"/>
        </w:rPr>
        <w:t>ICS</w:t>
      </w:r>
      <w:r>
        <w:rPr>
          <w:rFonts w:hAnsi="黑体"/>
        </w:rPr>
        <w:t> </w:t>
      </w:r>
      <w:r>
        <w:rPr>
          <w:rFonts w:ascii="Times New Roman"/>
        </w:rPr>
        <w:fldChar w:fldCharType="begin">
          <w:ffData>
            <w:name w:val="ICS"/>
            <w:enabled/>
            <w:calcOnExit w:val="0"/>
            <w:helpText w:type="text" w:val="请输入正确的ICS号："/>
            <w:textInput>
              <w:default w:val="01.040.93"/>
            </w:textInput>
          </w:ffData>
        </w:fldChar>
      </w:r>
      <w:bookmarkStart w:id="0" w:name="ICS"/>
      <w:r>
        <w:rPr>
          <w:rFonts w:ascii="Times New Roman"/>
        </w:rPr>
        <w:instrText xml:space="preserve"> FORMTEXT </w:instrText>
      </w:r>
      <w:r>
        <w:rPr>
          <w:rFonts w:ascii="Times New Roman"/>
        </w:rPr>
      </w:r>
      <w:r>
        <w:rPr>
          <w:rFonts w:ascii="Times New Roman"/>
        </w:rPr>
        <w:fldChar w:fldCharType="separate"/>
      </w:r>
      <w:r>
        <w:rPr>
          <w:rFonts w:ascii="Times New Roman"/>
        </w:rPr>
        <w:t>01.040.93</w:t>
      </w:r>
      <w:r>
        <w:rPr>
          <w:rFonts w:ascii="Times New Roman"/>
        </w:rPr>
        <w:fldChar w:fldCharType="end"/>
      </w:r>
      <w:bookmarkEnd w:id="0"/>
    </w:p>
    <w:p w14:paraId="16130108" w14:textId="77777777" w:rsidR="008B0BD0" w:rsidRDefault="00000000">
      <w:pPr>
        <w:pStyle w:val="affffffc"/>
        <w:framePr w:wrap="around"/>
        <w:rPr>
          <w:rFonts w:ascii="Times New Roman"/>
        </w:rPr>
      </w:pPr>
      <w:r>
        <w:rPr>
          <w:rFonts w:ascii="Times New Roman"/>
        </w:rPr>
        <w:fldChar w:fldCharType="begin">
          <w:ffData>
            <w:name w:val="WXFLH"/>
            <w:enabled/>
            <w:calcOnExit w:val="0"/>
            <w:helpText w:type="text" w:val="请输入中国标准文献分类号："/>
            <w:textInput>
              <w:default w:val="CCS P25"/>
            </w:textInput>
          </w:ffData>
        </w:fldChar>
      </w:r>
      <w:bookmarkStart w:id="1" w:name="WXFLH"/>
      <w:r>
        <w:rPr>
          <w:rFonts w:ascii="Times New Roman"/>
        </w:rPr>
        <w:instrText xml:space="preserve"> FORMTEXT </w:instrText>
      </w:r>
      <w:r>
        <w:rPr>
          <w:rFonts w:ascii="Times New Roman"/>
        </w:rPr>
      </w:r>
      <w:r>
        <w:rPr>
          <w:rFonts w:ascii="Times New Roman"/>
        </w:rPr>
        <w:fldChar w:fldCharType="separate"/>
      </w:r>
      <w:r>
        <w:rPr>
          <w:rFonts w:ascii="Times New Roman"/>
        </w:rPr>
        <w:t>CCS P25</w:t>
      </w:r>
      <w:r>
        <w:rPr>
          <w:rFonts w:ascii="Times New Roman"/>
        </w:rPr>
        <w:fldChar w:fldCharType="end"/>
      </w:r>
      <w:bookmarkEnd w:id="1"/>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2"/>
      </w:tblGrid>
      <w:tr w:rsidR="008B0BD0" w14:paraId="1CD7C28D" w14:textId="77777777">
        <w:tc>
          <w:tcPr>
            <w:tcW w:w="8522" w:type="dxa"/>
            <w:tcBorders>
              <w:top w:val="nil"/>
              <w:left w:val="nil"/>
              <w:bottom w:val="nil"/>
              <w:right w:val="nil"/>
            </w:tcBorders>
          </w:tcPr>
          <w:p w14:paraId="721B4FF8" w14:textId="77777777" w:rsidR="008B0BD0" w:rsidRDefault="00000000">
            <w:pPr>
              <w:pStyle w:val="affffffc"/>
              <w:framePr w:wrap="around"/>
            </w:pPr>
            <w:r>
              <w:rPr>
                <w:noProof/>
              </w:rPr>
              <mc:AlternateContent>
                <mc:Choice Requires="wps">
                  <w:drawing>
                    <wp:anchor distT="0" distB="0" distL="114300" distR="114300" simplePos="0" relativeHeight="251662336" behindDoc="1" locked="0" layoutInCell="1" allowOverlap="1" wp14:anchorId="62DF4733" wp14:editId="2ABB5774">
                      <wp:simplePos x="0" y="0"/>
                      <wp:positionH relativeFrom="column">
                        <wp:posOffset>-66675</wp:posOffset>
                      </wp:positionH>
                      <wp:positionV relativeFrom="paragraph">
                        <wp:posOffset>0</wp:posOffset>
                      </wp:positionV>
                      <wp:extent cx="866775" cy="198120"/>
                      <wp:effectExtent l="0" t="3810" r="4445" b="0"/>
                      <wp:wrapNone/>
                      <wp:docPr id="44"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JO3BpA4CAAAh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iuL+zVAAAABwEAAA8AAAAAAAAAAQAgAAAA&#10;IgAAAGRycy9kb3ducmV2LnhtbFBLAQIUABQAAAAIAIdO4kAk7cGkDgIAACEEAAAOAAAAAAAAAAEA&#10;IAAAACQBAABkcnMvZTJvRG9jLnhtbFBLBQYAAAAABgAGAFkBAACk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1C4F4C9A" w14:textId="77777777" w:rsidR="008B0BD0" w:rsidRDefault="00000000">
      <w:pPr>
        <w:pStyle w:val="affffff1"/>
        <w:framePr w:w="5962" w:wrap="around" w:x="5004" w:y="957"/>
      </w:pPr>
      <w:r>
        <w:t>DB</w:t>
      </w:r>
      <w:r>
        <w:fldChar w:fldCharType="begin">
          <w:ffData>
            <w:name w:val="c3"/>
            <w:enabled/>
            <w:calcOnExit w:val="0"/>
            <w:entryMacro w:val="ShowHelp16"/>
            <w:textInput>
              <w:maxLength w:val="2"/>
            </w:textInput>
          </w:ffData>
        </w:fldChar>
      </w:r>
      <w:bookmarkStart w:id="3" w:name="c3"/>
      <w:r>
        <w:instrText xml:space="preserve"> FORMTEXT </w:instrText>
      </w:r>
      <w:r>
        <w:fldChar w:fldCharType="separate"/>
      </w:r>
      <w:r>
        <w:t>37</w:t>
      </w:r>
      <w:r>
        <w:fldChar w:fldCharType="end"/>
      </w:r>
      <w:bookmarkEnd w:id="3"/>
    </w:p>
    <w:p w14:paraId="293A7E52" w14:textId="77777777" w:rsidR="008B0BD0" w:rsidRDefault="00000000">
      <w:pPr>
        <w:pStyle w:val="affffff2"/>
        <w:framePr w:wrap="around" w:x="1788" w:y="2341"/>
        <w:rPr>
          <w:rFonts w:hint="eastAsia"/>
        </w:rPr>
      </w:pPr>
      <w:r>
        <w:fldChar w:fldCharType="begin">
          <w:ffData>
            <w:name w:val="c4"/>
            <w:enabled/>
            <w:calcOnExit w:val="0"/>
            <w:entryMacro w:val="showhelp12"/>
            <w:textInput/>
          </w:ffData>
        </w:fldChar>
      </w:r>
      <w:bookmarkStart w:id="4" w:name="c4"/>
      <w:r>
        <w:instrText xml:space="preserve"> FORMTEXT </w:instrText>
      </w:r>
      <w:r>
        <w:fldChar w:fldCharType="separate"/>
      </w:r>
      <w:r>
        <w:rPr>
          <w:rFonts w:hint="eastAsia"/>
        </w:rPr>
        <w:t>山东省</w:t>
      </w:r>
      <w:r>
        <w:fldChar w:fldCharType="end"/>
      </w:r>
      <w:bookmarkEnd w:id="4"/>
      <w:r>
        <w:rPr>
          <w:rFonts w:hint="eastAsia"/>
        </w:rPr>
        <w:t>地方标准</w:t>
      </w:r>
    </w:p>
    <w:p w14:paraId="440CE97A" w14:textId="77777777" w:rsidR="008B0BD0" w:rsidRDefault="00000000">
      <w:pPr>
        <w:pStyle w:val="22"/>
        <w:framePr w:wrap="around"/>
        <w:rPr>
          <w:rFonts w:hAnsi="黑体" w:hint="eastAsia"/>
        </w:rPr>
      </w:pPr>
      <w:r>
        <w:rPr>
          <w:rFonts w:ascii="Times New Roman"/>
        </w:rPr>
        <w:t xml:space="preserve">DB </w:t>
      </w:r>
      <w:r>
        <w:rPr>
          <w:rFonts w:hAnsi="黑体"/>
        </w:rPr>
        <w:fldChar w:fldCharType="begin">
          <w:ffData>
            <w:name w:val="StdNo0"/>
            <w:enabled/>
            <w:calcOnExit w:val="0"/>
            <w:textInput>
              <w:default w:val="XX"/>
              <w:maxLength w:val="2"/>
            </w:textInput>
          </w:ffData>
        </w:fldChar>
      </w:r>
      <w:bookmarkStart w:id="5" w:name="StdNo0"/>
      <w:r>
        <w:rPr>
          <w:rFonts w:hAnsi="黑体"/>
        </w:rPr>
        <w:instrText xml:space="preserve"> FORMTEXT </w:instrText>
      </w:r>
      <w:r>
        <w:rPr>
          <w:rFonts w:hAnsi="黑体"/>
        </w:rPr>
      </w:r>
      <w:r>
        <w:rPr>
          <w:rFonts w:hAnsi="黑体"/>
        </w:rPr>
        <w:fldChar w:fldCharType="separate"/>
      </w:r>
      <w:r>
        <w:rPr>
          <w:rFonts w:hAnsi="黑体"/>
        </w:rPr>
        <w:t>37</w:t>
      </w:r>
      <w:r>
        <w:rPr>
          <w:rFonts w:hAnsi="黑体"/>
        </w:rPr>
        <w:fldChar w:fldCharType="end"/>
      </w:r>
      <w:bookmarkEnd w:id="5"/>
      <w:r>
        <w:rPr>
          <w:rFonts w:hAnsi="黑体"/>
        </w:rPr>
        <w:t>/</w:t>
      </w:r>
      <w:r>
        <w:rPr>
          <w:rFonts w:hAnsi="黑体" w:hint="eastAsia"/>
        </w:rPr>
        <w:t>T</w:t>
      </w:r>
      <w:r>
        <w:rPr>
          <w:rFonts w:hAnsi="黑体"/>
        </w:rPr>
        <w:t xml:space="preserve"> </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6"/>
      <w:r>
        <w:rPr>
          <w:rFonts w:hAnsi="黑体"/>
        </w:rPr>
        <w:t>—</w:t>
      </w:r>
      <w:r>
        <w:rPr>
          <w:rFonts w:hAnsi="黑体"/>
        </w:rPr>
        <w:fldChar w:fldCharType="begin">
          <w:ffData>
            <w:name w:val="StdNo2"/>
            <w:enabled/>
            <w:calcOnExit w:val="0"/>
            <w:textInput>
              <w:default w:val="XXXX"/>
              <w:maxLength w:val="4"/>
            </w:textInput>
          </w:ffData>
        </w:fldChar>
      </w:r>
      <w:bookmarkStart w:id="7" w:name="StdNo2"/>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7"/>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8B0BD0" w14:paraId="64060580" w14:textId="77777777">
        <w:tc>
          <w:tcPr>
            <w:tcW w:w="9356" w:type="dxa"/>
            <w:tcBorders>
              <w:top w:val="nil"/>
              <w:left w:val="nil"/>
              <w:bottom w:val="nil"/>
              <w:right w:val="nil"/>
            </w:tcBorders>
          </w:tcPr>
          <w:p w14:paraId="3E65D76B" w14:textId="77777777" w:rsidR="008B0BD0" w:rsidRDefault="00000000">
            <w:pPr>
              <w:pStyle w:val="afffff"/>
              <w:framePr w:wrap="around"/>
            </w:pPr>
            <w:r>
              <w:rPr>
                <w:noProof/>
              </w:rPr>
              <mc:AlternateContent>
                <mc:Choice Requires="wps">
                  <w:drawing>
                    <wp:anchor distT="0" distB="0" distL="114300" distR="114300" simplePos="0" relativeHeight="251659264" behindDoc="1" locked="0" layoutInCell="1" allowOverlap="1" wp14:anchorId="7016D481" wp14:editId="36E35120">
                      <wp:simplePos x="0" y="0"/>
                      <wp:positionH relativeFrom="column">
                        <wp:posOffset>4734560</wp:posOffset>
                      </wp:positionH>
                      <wp:positionV relativeFrom="paragraph">
                        <wp:posOffset>34290</wp:posOffset>
                      </wp:positionV>
                      <wp:extent cx="1143000" cy="228600"/>
                      <wp:effectExtent l="0" t="0" r="3175" b="0"/>
                      <wp:wrapNone/>
                      <wp:docPr id="43"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NgrTncKAgAAIQQAAA4AAABkcnMvZTJvRG9jLnhtbK1TwW7b&#10;MAy9D9g/CLovttOs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5g8svWAAAACAEAAA8AAAAAAAAAAQAgAAAAIgAA&#10;AGRycy9kb3ducmV2LnhtbFBLAQIUABQAAAAIAIdO4kDYK053CgIAACEEAAAOAAAAAAAAAAEAIAAA&#10;ACUBAABkcnMvZTJvRG9jLnhtbFBLBQYAAAAABgAGAFkBAAChBQAAAAA=&#10;">
                      <v:fill on="t" focussize="0,0"/>
                      <v:stroke on="f"/>
                      <v:imagedata o:title=""/>
                      <o:lock v:ext="edit" aspectratio="f"/>
                    </v:rect>
                  </w:pict>
                </mc:Fallback>
              </mc:AlternateContent>
            </w:r>
            <w:r>
              <w:fldChar w:fldCharType="begin">
                <w:ffData>
                  <w:name w:val="DT"/>
                  <w:enabled/>
                  <w:calcOnExit w:val="0"/>
                  <w:entryMacro w:val="ShowHelp4"/>
                  <w:textInput/>
                </w:ffData>
              </w:fldChar>
            </w:r>
            <w:bookmarkStart w:id="8" w:name="DT"/>
            <w:r>
              <w:instrText xml:space="preserve"> FORMTEXT </w:instrText>
            </w:r>
            <w:r>
              <w:fldChar w:fldCharType="separate"/>
            </w:r>
            <w:r>
              <w:t>     </w:t>
            </w:r>
            <w:r>
              <w:fldChar w:fldCharType="end"/>
            </w:r>
            <w:bookmarkEnd w:id="8"/>
          </w:p>
        </w:tc>
      </w:tr>
    </w:tbl>
    <w:p w14:paraId="560DF357" w14:textId="77777777" w:rsidR="008B0BD0" w:rsidRDefault="008B0BD0">
      <w:pPr>
        <w:pStyle w:val="22"/>
        <w:framePr w:wrap="around"/>
        <w:rPr>
          <w:rFonts w:hAnsi="黑体" w:hint="eastAsia"/>
        </w:rPr>
      </w:pPr>
    </w:p>
    <w:p w14:paraId="703D2366" w14:textId="77777777" w:rsidR="008B0BD0" w:rsidRDefault="008B0BD0">
      <w:pPr>
        <w:pStyle w:val="22"/>
        <w:framePr w:wrap="around"/>
        <w:rPr>
          <w:rFonts w:hAnsi="黑体" w:hint="eastAsia"/>
        </w:rPr>
      </w:pPr>
    </w:p>
    <w:p w14:paraId="7483F53D" w14:textId="77777777" w:rsidR="008B0BD0" w:rsidRDefault="00000000">
      <w:pPr>
        <w:pStyle w:val="afffff0"/>
        <w:framePr w:wrap="around" w:x="1612" w:y="5881"/>
      </w:pPr>
      <w:r>
        <w:fldChar w:fldCharType="begin">
          <w:ffData>
            <w:name w:val="StdName"/>
            <w:enabled/>
            <w:calcOnExit w:val="0"/>
            <w:textInput>
              <w:default w:val="基坑复合立柱技术规范"/>
            </w:textInput>
          </w:ffData>
        </w:fldChar>
      </w:r>
      <w:bookmarkStart w:id="9" w:name="StdName"/>
      <w:r>
        <w:instrText xml:space="preserve"> FORMTEXT </w:instrText>
      </w:r>
      <w:r>
        <w:fldChar w:fldCharType="separate"/>
      </w:r>
      <w:r>
        <w:rPr>
          <w:rFonts w:hint="eastAsia"/>
        </w:rPr>
        <w:t>基坑复合立柱技术规范</w:t>
      </w:r>
      <w:r>
        <w:fldChar w:fldCharType="end"/>
      </w:r>
      <w:bookmarkEnd w:id="9"/>
    </w:p>
    <w:p w14:paraId="056428AA" w14:textId="77777777" w:rsidR="008B0BD0" w:rsidRDefault="00000000">
      <w:pPr>
        <w:pStyle w:val="afffff1"/>
        <w:framePr w:wrap="around" w:x="1612" w:y="5881"/>
      </w:pPr>
      <w:r>
        <w:fldChar w:fldCharType="begin">
          <w:ffData>
            <w:name w:val="StdEnglishName"/>
            <w:enabled/>
            <w:calcOnExit w:val="0"/>
            <w:textInput>
              <w:default w:val="Technical specification of composite colums in the foundation pit "/>
            </w:textInput>
          </w:ffData>
        </w:fldChar>
      </w:r>
      <w:bookmarkStart w:id="10" w:name="StdEnglishName"/>
      <w:r>
        <w:instrText xml:space="preserve"> FORMTEXT </w:instrText>
      </w:r>
      <w:r>
        <w:fldChar w:fldCharType="separate"/>
      </w:r>
      <w:r>
        <w:t xml:space="preserve">Technical specification of composite colums in the foundation pit </w:t>
      </w:r>
      <w:r>
        <w:fldChar w:fldCharType="end"/>
      </w:r>
      <w:bookmarkEnd w:id="10"/>
    </w:p>
    <w:p w14:paraId="6E78ACD7" w14:textId="77777777" w:rsidR="008B0BD0" w:rsidRDefault="00000000">
      <w:pPr>
        <w:pStyle w:val="afffff2"/>
        <w:framePr w:wrap="around" w:x="1612" w:y="5881"/>
      </w:pPr>
      <w:r>
        <w:fldChar w:fldCharType="begin">
          <w:ffData>
            <w:name w:val="YZBS"/>
            <w:enabled/>
            <w:calcOnExit w:val="0"/>
            <w:textInput/>
          </w:ffData>
        </w:fldChar>
      </w:r>
      <w:bookmarkStart w:id="11" w:name="YZBS"/>
      <w:r>
        <w:instrText xml:space="preserve"> FORMTEXT </w:instrText>
      </w:r>
      <w:r>
        <w:fldChar w:fldCharType="separate"/>
      </w:r>
      <w:r>
        <w:t>     </w:t>
      </w:r>
      <w:r>
        <w:fldChar w:fldCharType="end"/>
      </w:r>
      <w:bookmarkEnd w:id="11"/>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8B0BD0" w14:paraId="555DD161" w14:textId="77777777">
        <w:tc>
          <w:tcPr>
            <w:tcW w:w="9855" w:type="dxa"/>
            <w:tcBorders>
              <w:top w:val="nil"/>
              <w:left w:val="nil"/>
              <w:bottom w:val="nil"/>
              <w:right w:val="nil"/>
            </w:tcBorders>
          </w:tcPr>
          <w:p w14:paraId="268B9EF5" w14:textId="77777777" w:rsidR="008B0BD0" w:rsidRDefault="00000000">
            <w:pPr>
              <w:pStyle w:val="afffff3"/>
              <w:framePr w:wrap="around" w:x="1612" w:y="5881"/>
            </w:pPr>
            <w:r>
              <w:rPr>
                <w:noProof/>
              </w:rPr>
              <mc:AlternateContent>
                <mc:Choice Requires="wps">
                  <w:drawing>
                    <wp:anchor distT="0" distB="0" distL="114300" distR="114300" simplePos="0" relativeHeight="251661312" behindDoc="1" locked="1" layoutInCell="1" allowOverlap="1" wp14:anchorId="49AC00A1" wp14:editId="66A10FAE">
                      <wp:simplePos x="0" y="0"/>
                      <wp:positionH relativeFrom="column">
                        <wp:posOffset>2200910</wp:posOffset>
                      </wp:positionH>
                      <wp:positionV relativeFrom="paragraph">
                        <wp:posOffset>573405</wp:posOffset>
                      </wp:positionV>
                      <wp:extent cx="1905000" cy="254000"/>
                      <wp:effectExtent l="0" t="0" r="3175" b="3175"/>
                      <wp:wrapNone/>
                      <wp:docPr id="42"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XTNPTgoCAAAh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YmuktUAAAAKAQAADwAAAAAAAAABACAAAAAiAAAA&#10;ZHJzL2Rvd25yZXYueG1sUEsBAhQAFAAAAAgAh07iQF0zT04KAgAAIQQAAA4AAAAAAAAAAQAgAAAA&#10;JAEAAGRycy9lMm9Eb2MueG1sUEsFBgAAAAAGAAYAWQEAAKAFA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0288" behindDoc="1" locked="0" layoutInCell="1" allowOverlap="1" wp14:anchorId="4BE37554" wp14:editId="7018FFAA">
                      <wp:simplePos x="0" y="0"/>
                      <wp:positionH relativeFrom="column">
                        <wp:posOffset>2454910</wp:posOffset>
                      </wp:positionH>
                      <wp:positionV relativeFrom="paragraph">
                        <wp:posOffset>255905</wp:posOffset>
                      </wp:positionV>
                      <wp:extent cx="1270000" cy="304800"/>
                      <wp:effectExtent l="3175" t="0" r="3175" b="3175"/>
                      <wp:wrapNone/>
                      <wp:docPr id="41"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PDVZ3kJAgAAIQQAAA4AAAAAAAAAAQAgAAAA&#10;JQEAAGRycy9lMm9Eb2MueG1sUEsFBgAAAAAGAAYAWQEAAKAFAAAAAA==&#10;">
                      <v:fill on="t" focussize="0,0"/>
                      <v:stroke on="f"/>
                      <v:imagedata o:title=""/>
                      <o:lock v:ext="edit" aspectratio="f"/>
                    </v:rect>
                  </w:pict>
                </mc:Fallback>
              </mc:AlternateContent>
            </w:r>
            <w:r>
              <w:fldChar w:fldCharType="begin">
                <w:ffData>
                  <w:name w:val="LB"/>
                  <w:enabled/>
                  <w:calcOnExit w:val="0"/>
                  <w:ddList>
                    <w:listEntry w:val="（报批稿）"/>
                    <w:listEntry w:val="（送审稿）"/>
                    <w:listEntry w:val="（征求意见稿）"/>
                    <w:listEntry w:val="（送审讨论稿）"/>
                  </w:ddList>
                </w:ffData>
              </w:fldChar>
            </w:r>
            <w:bookmarkStart w:id="12" w:name="LB"/>
            <w:r>
              <w:instrText xml:space="preserve"> FORMDROPDOWN </w:instrText>
            </w:r>
            <w:r>
              <w:fldChar w:fldCharType="separate"/>
            </w:r>
            <w:r>
              <w:fldChar w:fldCharType="end"/>
            </w:r>
            <w:bookmarkEnd w:id="12"/>
          </w:p>
        </w:tc>
      </w:tr>
      <w:tr w:rsidR="008B0BD0" w14:paraId="3D7A0323" w14:textId="77777777">
        <w:tc>
          <w:tcPr>
            <w:tcW w:w="9855" w:type="dxa"/>
            <w:tcBorders>
              <w:top w:val="nil"/>
              <w:left w:val="nil"/>
              <w:bottom w:val="nil"/>
              <w:right w:val="nil"/>
            </w:tcBorders>
          </w:tcPr>
          <w:p w14:paraId="0B364ECF" w14:textId="77777777" w:rsidR="008B0BD0" w:rsidRDefault="00000000">
            <w:pPr>
              <w:pStyle w:val="afffff4"/>
              <w:framePr w:wrap="around" w:x="1612" w:y="5881"/>
            </w:pPr>
            <w:r>
              <w:fldChar w:fldCharType="begin">
                <w:ffData>
                  <w:name w:val="WCRQ"/>
                  <w:enabled/>
                  <w:calcOnExit w:val="0"/>
                  <w:textInput/>
                </w:ffData>
              </w:fldChar>
            </w:r>
            <w:bookmarkStart w:id="13" w:name="WCRQ"/>
            <w:r>
              <w:instrText xml:space="preserve"> FORMTEXT </w:instrText>
            </w:r>
            <w:r>
              <w:fldChar w:fldCharType="separate"/>
            </w:r>
            <w:r>
              <w:t>     </w:t>
            </w:r>
            <w:r>
              <w:fldChar w:fldCharType="end"/>
            </w:r>
            <w:bookmarkEnd w:id="13"/>
          </w:p>
        </w:tc>
      </w:tr>
    </w:tbl>
    <w:p w14:paraId="0CD72870" w14:textId="77777777" w:rsidR="008B0BD0" w:rsidRDefault="00000000">
      <w:pPr>
        <w:pStyle w:val="afffffff1"/>
        <w:framePr w:wrap="around" w:hAnchor="page" w:x="1703" w:y="14015"/>
      </w:pPr>
      <w:r>
        <w:rPr>
          <w:rFonts w:ascii="黑体"/>
        </w:rPr>
        <w:fldChar w:fldCharType="begin">
          <w:ffData>
            <w:name w:val="FY"/>
            <w:enabled/>
            <w:calcOnExit w:val="0"/>
            <w:textInput>
              <w:default w:val="XXXX"/>
              <w:maxLength w:val="4"/>
            </w:textInput>
          </w:ffData>
        </w:fldChar>
      </w:r>
      <w:bookmarkStart w:id="14" w:name="F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FD"/>
            <w:enabled/>
            <w:calcOnExit w:val="0"/>
            <w:entryMacro w:val="ShowHelp8"/>
            <w:textInput>
              <w:default w:val="XX"/>
              <w:maxLength w:val="2"/>
            </w:textInput>
          </w:ffData>
        </w:fldChar>
      </w:r>
      <w:bookmarkStart w:id="15"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r>
        <w:rPr>
          <w:noProof/>
        </w:rPr>
        <mc:AlternateContent>
          <mc:Choice Requires="wps">
            <w:drawing>
              <wp:anchor distT="0" distB="0" distL="114300" distR="114300" simplePos="0" relativeHeight="251663360" behindDoc="0" locked="1" layoutInCell="1" allowOverlap="1" wp14:anchorId="0A150908" wp14:editId="64083D83">
                <wp:simplePos x="0" y="0"/>
                <wp:positionH relativeFrom="column">
                  <wp:posOffset>-635</wp:posOffset>
                </wp:positionH>
                <wp:positionV relativeFrom="page">
                  <wp:posOffset>9251950</wp:posOffset>
                </wp:positionV>
                <wp:extent cx="6120130" cy="0"/>
                <wp:effectExtent l="13970" t="12700" r="9525" b="6350"/>
                <wp:wrapNone/>
                <wp:docPr id="39"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h2s81gAAAAsBAAAPAAAAAAAAAAEA&#10;IAAAACIAAABkcnMvZG93bnJldi54bWxQSwECFAAUAAAACACHTuJA/3GuJ9gBAACjAwAADgAAAAAA&#10;AAABACAAAAAlAQAAZHJzL2Uyb0RvYy54bWxQSwUGAAAAAAYABgBZAQAAbwUAAAAA&#10;">
                <v:fill on="f" focussize="0,0"/>
                <v:stroke color="#000000" joinstyle="round"/>
                <v:imagedata o:title=""/>
                <o:lock v:ext="edit" aspectratio="f"/>
                <w10:anchorlock/>
              </v:line>
            </w:pict>
          </mc:Fallback>
        </mc:AlternateContent>
      </w:r>
    </w:p>
    <w:p w14:paraId="3537188B" w14:textId="77777777" w:rsidR="008B0BD0" w:rsidRDefault="00000000">
      <w:pPr>
        <w:pStyle w:val="afffffff2"/>
        <w:framePr w:wrap="around" w:hAnchor="page" w:x="6860" w:y="14060"/>
      </w:pPr>
      <w:r>
        <w:rPr>
          <w:rFonts w:ascii="黑体"/>
        </w:rPr>
        <w:fldChar w:fldCharType="begin">
          <w:ffData>
            <w:name w:val="SY"/>
            <w:enabled/>
            <w:calcOnExit w:val="0"/>
            <w:textInput>
              <w:default w:val="XXXX"/>
              <w:maxLength w:val="4"/>
            </w:textInput>
          </w:ffData>
        </w:fldChar>
      </w:r>
      <w:bookmarkStart w:id="16"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SM"/>
            <w:enabled/>
            <w:calcOnExit w:val="0"/>
            <w:entryMacro w:val="ShowHelp9"/>
            <w:textInput>
              <w:default w:val="XX"/>
              <w:maxLength w:val="2"/>
            </w:textInput>
          </w:ffData>
        </w:fldChar>
      </w:r>
      <w:bookmarkStart w:id="17"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SD"/>
            <w:enabled/>
            <w:calcOnExit w:val="0"/>
            <w:entryMacro w:val="ShowHelp9"/>
            <w:textInput>
              <w:default w:val="XX"/>
              <w:maxLength w:val="2"/>
            </w:textInput>
          </w:ffData>
        </w:fldChar>
      </w:r>
      <w:bookmarkStart w:id="18"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1DB56DC1" w14:textId="77777777" w:rsidR="008B0BD0" w:rsidRDefault="00000000">
      <w:pPr>
        <w:pStyle w:val="affffff3"/>
        <w:framePr w:wrap="around"/>
      </w:pPr>
      <w:r>
        <w:fldChar w:fldCharType="begin">
          <w:ffData>
            <w:name w:val="fm"/>
            <w:enabled/>
            <w:calcOnExit w:val="0"/>
            <w:textInput/>
          </w:ffData>
        </w:fldChar>
      </w:r>
      <w:bookmarkStart w:id="19" w:name="fm"/>
      <w:r>
        <w:instrText xml:space="preserve"> FORMTEXT </w:instrText>
      </w:r>
      <w:r>
        <w:fldChar w:fldCharType="separate"/>
      </w:r>
      <w:r>
        <w:t>山东省市场监管局</w:t>
      </w:r>
      <w:r>
        <w:fldChar w:fldCharType="end"/>
      </w:r>
      <w:bookmarkEnd w:id="19"/>
      <w:r>
        <w:rPr>
          <w:rFonts w:hAnsi="黑体"/>
        </w:rPr>
        <w:t>   </w:t>
      </w:r>
      <w:r>
        <w:rPr>
          <w:rStyle w:val="affffc"/>
          <w:rFonts w:hint="eastAsia"/>
        </w:rPr>
        <w:t>发布</w:t>
      </w:r>
    </w:p>
    <w:p w14:paraId="5440561C" w14:textId="77777777" w:rsidR="008B0BD0" w:rsidRDefault="00000000">
      <w:pPr>
        <w:pStyle w:val="afffe"/>
        <w:sectPr w:rsidR="008B0BD0">
          <w:headerReference w:type="even" r:id="rId8"/>
          <w:footerReference w:type="even" r:id="rId9"/>
          <w:pgSz w:w="11906" w:h="16838"/>
          <w:pgMar w:top="1440" w:right="1800" w:bottom="1440" w:left="1800" w:header="851" w:footer="992" w:gutter="0"/>
          <w:cols w:space="425"/>
          <w:docGrid w:type="lines" w:linePitch="312"/>
        </w:sectPr>
      </w:pPr>
      <w:r>
        <w:rPr>
          <w:noProof/>
        </w:rPr>
        <mc:AlternateContent>
          <mc:Choice Requires="wps">
            <w:drawing>
              <wp:anchor distT="0" distB="0" distL="114300" distR="114300" simplePos="0" relativeHeight="251664384" behindDoc="0" locked="0" layoutInCell="1" allowOverlap="1" wp14:anchorId="2B2CC0FA" wp14:editId="6EF4105B">
                <wp:simplePos x="0" y="0"/>
                <wp:positionH relativeFrom="column">
                  <wp:posOffset>-635</wp:posOffset>
                </wp:positionH>
                <wp:positionV relativeFrom="paragraph">
                  <wp:posOffset>2339975</wp:posOffset>
                </wp:positionV>
                <wp:extent cx="6120130" cy="0"/>
                <wp:effectExtent l="13970" t="13970" r="9525" b="5080"/>
                <wp:wrapNone/>
                <wp:docPr id="38"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1"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CQeJf1wAAAAkBAAAPAAAAAAAAAAEA&#10;IAAAACIAAABkcnMvZG93bnJldi54bWxQSwECFAAUAAAACACHTuJAMMdIhdcBAACjAwAADgAAAAAA&#10;AAABACAAAAAmAQAAZHJzL2Uyb0RvYy54bWxQSwUGAAAAAAYABgBZAQAAbwUAAAAA&#10;">
                <v:fill on="f" focussize="0,0"/>
                <v:stroke color="#000000" joinstyle="round"/>
                <v:imagedata o:title=""/>
                <o:lock v:ext="edit" aspectratio="f"/>
              </v:line>
            </w:pict>
          </mc:Fallback>
        </mc:AlternateContent>
      </w:r>
    </w:p>
    <w:p w14:paraId="43345793" w14:textId="77777777" w:rsidR="008B0BD0" w:rsidRDefault="00000000">
      <w:pPr>
        <w:pStyle w:val="affff2"/>
      </w:pPr>
      <w:bookmarkStart w:id="20" w:name="_Toc128749183"/>
      <w:bookmarkStart w:id="21" w:name="_Toc25737"/>
      <w:bookmarkStart w:id="22" w:name="_Toc167100741"/>
      <w:bookmarkStart w:id="23" w:name="_Toc105593886"/>
      <w:bookmarkStart w:id="24" w:name="_Toc129266217"/>
      <w:bookmarkStart w:id="25" w:name="_Toc132710594"/>
      <w:bookmarkStart w:id="26" w:name="_Toc193287373"/>
      <w:bookmarkStart w:id="27" w:name="_Toc103352261"/>
      <w:r>
        <w:rPr>
          <w:rFonts w:hint="eastAsia"/>
        </w:rPr>
        <w:lastRenderedPageBreak/>
        <w:t>目</w:t>
      </w:r>
      <w:r>
        <w:rPr>
          <w:rFonts w:hAnsi="黑体" w:hint="eastAsia"/>
        </w:rPr>
        <w:t xml:space="preserve">　　</w:t>
      </w:r>
      <w:r>
        <w:rPr>
          <w:rFonts w:hint="eastAsia"/>
        </w:rPr>
        <w:t>次</w:t>
      </w:r>
      <w:bookmarkEnd w:id="20"/>
      <w:bookmarkEnd w:id="21"/>
      <w:bookmarkEnd w:id="22"/>
      <w:bookmarkEnd w:id="23"/>
      <w:bookmarkEnd w:id="24"/>
      <w:bookmarkEnd w:id="25"/>
      <w:bookmarkEnd w:id="26"/>
      <w:bookmarkEnd w:id="27"/>
      <w:r>
        <w:rPr>
          <w:rFonts w:ascii="宋体" w:eastAsia="宋体"/>
          <w:kern w:val="2"/>
          <w:sz w:val="21"/>
          <w:szCs w:val="21"/>
        </w:rPr>
        <w:fldChar w:fldCharType="begin"/>
      </w:r>
      <w:r>
        <w:instrText xml:space="preserve"> TOC \o "1-3" \h \z \u </w:instrText>
      </w:r>
      <w:r>
        <w:rPr>
          <w:rFonts w:ascii="宋体" w:eastAsia="宋体"/>
          <w:kern w:val="2"/>
          <w:sz w:val="21"/>
          <w:szCs w:val="21"/>
        </w:rPr>
        <w:fldChar w:fldCharType="separate"/>
      </w:r>
    </w:p>
    <w:p w14:paraId="4A106F5A" w14:textId="77777777" w:rsidR="008B0BD0" w:rsidRDefault="00000000">
      <w:pPr>
        <w:pStyle w:val="TOC1"/>
        <w:tabs>
          <w:tab w:val="right" w:leader="dot" w:pos="9344"/>
        </w:tabs>
        <w:rPr>
          <w:rFonts w:ascii="宋体" w:eastAsia="宋体" w:hAnsi="宋体" w:hint="eastAsia"/>
          <w:sz w:val="22"/>
          <w:szCs w:val="24"/>
          <w14:ligatures w14:val="standardContextual"/>
        </w:rPr>
      </w:pPr>
      <w:hyperlink w:anchor="_Toc193287374" w:history="1">
        <w:r>
          <w:rPr>
            <w:rStyle w:val="afffb"/>
            <w:rFonts w:ascii="宋体" w:eastAsia="宋体" w:hAnsi="宋体" w:hint="eastAsia"/>
          </w:rPr>
          <w:t>前</w:t>
        </w:r>
        <w:r>
          <w:rPr>
            <w:rStyle w:val="afffb"/>
            <w:rFonts w:ascii="宋体" w:eastAsia="宋体" w:hAnsi="宋体"/>
          </w:rPr>
          <w:t>  </w:t>
        </w:r>
        <w:r>
          <w:rPr>
            <w:rStyle w:val="afffb"/>
            <w:rFonts w:ascii="宋体" w:eastAsia="宋体" w:hAnsi="宋体" w:hint="eastAsia"/>
          </w:rPr>
          <w:t>言</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_Toc193287374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II</w:t>
        </w:r>
        <w:r>
          <w:rPr>
            <w:rFonts w:ascii="宋体" w:eastAsia="宋体" w:hAnsi="宋体" w:hint="eastAsia"/>
          </w:rPr>
          <w:fldChar w:fldCharType="end"/>
        </w:r>
      </w:hyperlink>
    </w:p>
    <w:p w14:paraId="738CBE70" w14:textId="77777777" w:rsidR="008B0BD0" w:rsidRDefault="00000000">
      <w:pPr>
        <w:pStyle w:val="TOC2"/>
        <w:tabs>
          <w:tab w:val="right" w:leader="dot" w:pos="9344"/>
        </w:tabs>
        <w:rPr>
          <w:rFonts w:ascii="宋体" w:eastAsia="宋体" w:hAnsi="宋体" w:hint="eastAsia"/>
          <w:sz w:val="22"/>
          <w:szCs w:val="24"/>
          <w14:ligatures w14:val="standardContextual"/>
        </w:rPr>
      </w:pPr>
      <w:hyperlink w:anchor="_Toc193287376" w:history="1">
        <w:r>
          <w:rPr>
            <w:rStyle w:val="afffb"/>
            <w:rFonts w:ascii="宋体" w:eastAsia="宋体" w:hAnsi="宋体" w:hint="eastAsia"/>
          </w:rPr>
          <w:t>1 范围</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_Toc193287376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3</w:t>
        </w:r>
        <w:r>
          <w:rPr>
            <w:rFonts w:ascii="宋体" w:eastAsia="宋体" w:hAnsi="宋体" w:hint="eastAsia"/>
          </w:rPr>
          <w:fldChar w:fldCharType="end"/>
        </w:r>
      </w:hyperlink>
    </w:p>
    <w:p w14:paraId="7972BA5B" w14:textId="77777777" w:rsidR="008B0BD0" w:rsidRDefault="00000000">
      <w:pPr>
        <w:pStyle w:val="TOC2"/>
        <w:tabs>
          <w:tab w:val="right" w:leader="dot" w:pos="9344"/>
        </w:tabs>
        <w:rPr>
          <w:rFonts w:ascii="宋体" w:eastAsia="宋体" w:hAnsi="宋体" w:hint="eastAsia"/>
          <w:sz w:val="22"/>
          <w:szCs w:val="24"/>
          <w14:ligatures w14:val="standardContextual"/>
        </w:rPr>
      </w:pPr>
      <w:hyperlink w:anchor="_Toc193287377" w:history="1">
        <w:r>
          <w:rPr>
            <w:rStyle w:val="afffb"/>
            <w:rFonts w:ascii="宋体" w:eastAsia="宋体" w:hAnsi="宋体" w:hint="eastAsia"/>
          </w:rPr>
          <w:t>2 规范性引用文件</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_Toc193287377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3</w:t>
        </w:r>
        <w:r>
          <w:rPr>
            <w:rFonts w:ascii="宋体" w:eastAsia="宋体" w:hAnsi="宋体" w:hint="eastAsia"/>
          </w:rPr>
          <w:fldChar w:fldCharType="end"/>
        </w:r>
      </w:hyperlink>
    </w:p>
    <w:p w14:paraId="41643603" w14:textId="77777777" w:rsidR="008B0BD0" w:rsidRDefault="00000000">
      <w:pPr>
        <w:pStyle w:val="TOC2"/>
        <w:tabs>
          <w:tab w:val="right" w:leader="dot" w:pos="9344"/>
        </w:tabs>
        <w:rPr>
          <w:rFonts w:ascii="宋体" w:eastAsia="宋体" w:hAnsi="宋体" w:hint="eastAsia"/>
          <w:sz w:val="22"/>
          <w:szCs w:val="24"/>
          <w14:ligatures w14:val="standardContextual"/>
        </w:rPr>
      </w:pPr>
      <w:hyperlink w:anchor="_Toc193287378" w:history="1">
        <w:r>
          <w:rPr>
            <w:rStyle w:val="afffb"/>
            <w:rFonts w:ascii="宋体" w:eastAsia="宋体" w:hAnsi="宋体" w:hint="eastAsia"/>
          </w:rPr>
          <w:t>3 术语和定义</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_Toc193287378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3</w:t>
        </w:r>
        <w:r>
          <w:rPr>
            <w:rFonts w:ascii="宋体" w:eastAsia="宋体" w:hAnsi="宋体" w:hint="eastAsia"/>
          </w:rPr>
          <w:fldChar w:fldCharType="end"/>
        </w:r>
      </w:hyperlink>
    </w:p>
    <w:p w14:paraId="3C78DBCB" w14:textId="77777777" w:rsidR="008B0BD0" w:rsidRDefault="00000000">
      <w:pPr>
        <w:pStyle w:val="TOC2"/>
        <w:tabs>
          <w:tab w:val="right" w:leader="dot" w:pos="9344"/>
        </w:tabs>
        <w:rPr>
          <w:rFonts w:ascii="宋体" w:eastAsia="宋体" w:hAnsi="宋体" w:hint="eastAsia"/>
          <w:sz w:val="22"/>
          <w:szCs w:val="24"/>
          <w14:ligatures w14:val="standardContextual"/>
        </w:rPr>
      </w:pPr>
      <w:hyperlink w:anchor="_Toc193287379" w:history="1">
        <w:r>
          <w:rPr>
            <w:rStyle w:val="afffb"/>
            <w:rFonts w:ascii="宋体" w:eastAsia="宋体" w:hAnsi="宋体" w:hint="eastAsia"/>
          </w:rPr>
          <w:t>4 设计</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_Toc193287379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4</w:t>
        </w:r>
        <w:r>
          <w:rPr>
            <w:rFonts w:ascii="宋体" w:eastAsia="宋体" w:hAnsi="宋体" w:hint="eastAsia"/>
          </w:rPr>
          <w:fldChar w:fldCharType="end"/>
        </w:r>
      </w:hyperlink>
    </w:p>
    <w:p w14:paraId="0394D843" w14:textId="77777777" w:rsidR="008B0BD0" w:rsidRDefault="00000000">
      <w:pPr>
        <w:pStyle w:val="TOC3"/>
        <w:tabs>
          <w:tab w:val="right" w:leader="dot" w:pos="9344"/>
        </w:tabs>
        <w:rPr>
          <w:rFonts w:ascii="宋体" w:eastAsia="宋体" w:hAnsi="宋体" w:hint="eastAsia"/>
          <w:sz w:val="22"/>
          <w:szCs w:val="24"/>
          <w14:ligatures w14:val="standardContextual"/>
        </w:rPr>
      </w:pPr>
      <w:hyperlink w:anchor="_Toc193287380" w:history="1">
        <w:r>
          <w:rPr>
            <w:rStyle w:val="afffb"/>
            <w:rFonts w:ascii="宋体" w:eastAsia="宋体" w:hAnsi="宋体" w:hint="eastAsia"/>
          </w:rPr>
          <w:t>4.1 通用要求</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_Toc193287380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4</w:t>
        </w:r>
        <w:r>
          <w:rPr>
            <w:rFonts w:ascii="宋体" w:eastAsia="宋体" w:hAnsi="宋体" w:hint="eastAsia"/>
          </w:rPr>
          <w:fldChar w:fldCharType="end"/>
        </w:r>
      </w:hyperlink>
    </w:p>
    <w:p w14:paraId="003929D5" w14:textId="77777777" w:rsidR="008B0BD0" w:rsidRDefault="00000000">
      <w:pPr>
        <w:pStyle w:val="TOC3"/>
        <w:tabs>
          <w:tab w:val="right" w:leader="dot" w:pos="9344"/>
        </w:tabs>
        <w:rPr>
          <w:rFonts w:ascii="宋体" w:eastAsia="宋体" w:hAnsi="宋体" w:hint="eastAsia"/>
          <w:sz w:val="22"/>
          <w:szCs w:val="24"/>
          <w14:ligatures w14:val="standardContextual"/>
        </w:rPr>
      </w:pPr>
      <w:hyperlink w:anchor="_Toc193287381" w:history="1">
        <w:r>
          <w:rPr>
            <w:rStyle w:val="afffb"/>
            <w:rFonts w:ascii="宋体" w:eastAsia="宋体" w:hAnsi="宋体" w:hint="eastAsia"/>
          </w:rPr>
          <w:t>4.2 构造要求</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_Toc193287381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4</w:t>
        </w:r>
        <w:r>
          <w:rPr>
            <w:rFonts w:ascii="宋体" w:eastAsia="宋体" w:hAnsi="宋体" w:hint="eastAsia"/>
          </w:rPr>
          <w:fldChar w:fldCharType="end"/>
        </w:r>
      </w:hyperlink>
    </w:p>
    <w:p w14:paraId="2C06794B" w14:textId="77777777" w:rsidR="008B0BD0" w:rsidRDefault="00000000">
      <w:pPr>
        <w:pStyle w:val="TOC2"/>
        <w:tabs>
          <w:tab w:val="right" w:leader="dot" w:pos="9344"/>
        </w:tabs>
        <w:rPr>
          <w:rFonts w:ascii="宋体" w:eastAsia="宋体" w:hAnsi="宋体" w:hint="eastAsia"/>
          <w:sz w:val="22"/>
          <w:szCs w:val="24"/>
          <w14:ligatures w14:val="standardContextual"/>
        </w:rPr>
      </w:pPr>
      <w:hyperlink w:anchor="_Toc193287382" w:history="1">
        <w:r>
          <w:rPr>
            <w:rStyle w:val="afffb"/>
            <w:rFonts w:ascii="宋体" w:eastAsia="宋体" w:hAnsi="宋体" w:hint="eastAsia"/>
          </w:rPr>
          <w:t>5 芯柱的制作、吊运和堆放</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_Toc193287382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5</w:t>
        </w:r>
        <w:r>
          <w:rPr>
            <w:rFonts w:ascii="宋体" w:eastAsia="宋体" w:hAnsi="宋体" w:hint="eastAsia"/>
          </w:rPr>
          <w:fldChar w:fldCharType="end"/>
        </w:r>
      </w:hyperlink>
    </w:p>
    <w:p w14:paraId="0F67EC78" w14:textId="77777777" w:rsidR="008B0BD0" w:rsidRDefault="00000000">
      <w:pPr>
        <w:pStyle w:val="TOC3"/>
        <w:tabs>
          <w:tab w:val="right" w:leader="dot" w:pos="9344"/>
        </w:tabs>
        <w:rPr>
          <w:rFonts w:ascii="宋体" w:eastAsia="宋体" w:hAnsi="宋体" w:hint="eastAsia"/>
          <w:sz w:val="22"/>
          <w:szCs w:val="24"/>
          <w14:ligatures w14:val="standardContextual"/>
        </w:rPr>
      </w:pPr>
      <w:hyperlink w:anchor="_Toc193287383" w:history="1">
        <w:r>
          <w:rPr>
            <w:rStyle w:val="afffb"/>
            <w:rFonts w:ascii="宋体" w:eastAsia="宋体" w:hAnsi="宋体" w:hint="eastAsia"/>
          </w:rPr>
          <w:t>5.1 制作</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_Toc193287383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5</w:t>
        </w:r>
        <w:r>
          <w:rPr>
            <w:rFonts w:ascii="宋体" w:eastAsia="宋体" w:hAnsi="宋体" w:hint="eastAsia"/>
          </w:rPr>
          <w:fldChar w:fldCharType="end"/>
        </w:r>
      </w:hyperlink>
    </w:p>
    <w:p w14:paraId="20E77EA1" w14:textId="77777777" w:rsidR="008B0BD0" w:rsidRDefault="00000000">
      <w:pPr>
        <w:pStyle w:val="TOC3"/>
        <w:tabs>
          <w:tab w:val="right" w:leader="dot" w:pos="9344"/>
        </w:tabs>
        <w:rPr>
          <w:rFonts w:ascii="宋体" w:eastAsia="宋体" w:hAnsi="宋体" w:hint="eastAsia"/>
          <w:sz w:val="22"/>
          <w:szCs w:val="24"/>
          <w14:ligatures w14:val="standardContextual"/>
        </w:rPr>
      </w:pPr>
      <w:hyperlink w:anchor="_Toc193287384" w:history="1">
        <w:r>
          <w:rPr>
            <w:rStyle w:val="afffb"/>
            <w:rFonts w:ascii="宋体" w:eastAsia="宋体" w:hAnsi="宋体" w:hint="eastAsia"/>
          </w:rPr>
          <w:t>5.2 吊运和堆放</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_Toc193287384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5</w:t>
        </w:r>
        <w:r>
          <w:rPr>
            <w:rFonts w:ascii="宋体" w:eastAsia="宋体" w:hAnsi="宋体" w:hint="eastAsia"/>
          </w:rPr>
          <w:fldChar w:fldCharType="end"/>
        </w:r>
      </w:hyperlink>
    </w:p>
    <w:p w14:paraId="6BF1A174" w14:textId="77777777" w:rsidR="008B0BD0" w:rsidRDefault="00000000">
      <w:pPr>
        <w:pStyle w:val="TOC2"/>
        <w:tabs>
          <w:tab w:val="right" w:leader="dot" w:pos="9344"/>
        </w:tabs>
        <w:rPr>
          <w:rFonts w:ascii="宋体" w:eastAsia="宋体" w:hAnsi="宋体" w:hint="eastAsia"/>
          <w:sz w:val="22"/>
          <w:szCs w:val="24"/>
          <w14:ligatures w14:val="standardContextual"/>
        </w:rPr>
      </w:pPr>
      <w:hyperlink w:anchor="_Toc193287385" w:history="1">
        <w:r>
          <w:rPr>
            <w:rStyle w:val="afffb"/>
            <w:rFonts w:ascii="宋体" w:eastAsia="宋体" w:hAnsi="宋体" w:hint="eastAsia"/>
          </w:rPr>
          <w:t>6 施工</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_Toc193287385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5</w:t>
        </w:r>
        <w:r>
          <w:rPr>
            <w:rFonts w:ascii="宋体" w:eastAsia="宋体" w:hAnsi="宋体" w:hint="eastAsia"/>
          </w:rPr>
          <w:fldChar w:fldCharType="end"/>
        </w:r>
      </w:hyperlink>
    </w:p>
    <w:p w14:paraId="2FCBDD79" w14:textId="77777777" w:rsidR="008B0BD0" w:rsidRDefault="00000000">
      <w:pPr>
        <w:pStyle w:val="TOC3"/>
        <w:tabs>
          <w:tab w:val="right" w:leader="dot" w:pos="9344"/>
        </w:tabs>
        <w:rPr>
          <w:rFonts w:ascii="宋体" w:eastAsia="宋体" w:hAnsi="宋体" w:hint="eastAsia"/>
          <w:sz w:val="22"/>
          <w:szCs w:val="24"/>
          <w14:ligatures w14:val="standardContextual"/>
        </w:rPr>
      </w:pPr>
      <w:hyperlink w:anchor="_Toc193287386" w:history="1">
        <w:r>
          <w:rPr>
            <w:rStyle w:val="afffb"/>
            <w:rFonts w:ascii="宋体" w:eastAsia="宋体" w:hAnsi="宋体" w:hint="eastAsia"/>
          </w:rPr>
          <w:t>6.1 通则</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_Toc193287386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5</w:t>
        </w:r>
        <w:r>
          <w:rPr>
            <w:rFonts w:ascii="宋体" w:eastAsia="宋体" w:hAnsi="宋体" w:hint="eastAsia"/>
          </w:rPr>
          <w:fldChar w:fldCharType="end"/>
        </w:r>
      </w:hyperlink>
    </w:p>
    <w:p w14:paraId="3AFC2806" w14:textId="77777777" w:rsidR="008B0BD0" w:rsidRDefault="00000000">
      <w:pPr>
        <w:pStyle w:val="TOC3"/>
        <w:tabs>
          <w:tab w:val="right" w:leader="dot" w:pos="9344"/>
        </w:tabs>
        <w:rPr>
          <w:rFonts w:ascii="宋体" w:eastAsia="宋体" w:hAnsi="宋体" w:hint="eastAsia"/>
          <w:sz w:val="22"/>
          <w:szCs w:val="24"/>
          <w14:ligatures w14:val="standardContextual"/>
        </w:rPr>
      </w:pPr>
      <w:hyperlink w:anchor="_Toc193287387" w:history="1">
        <w:r>
          <w:rPr>
            <w:rStyle w:val="afffb"/>
            <w:rFonts w:ascii="宋体" w:eastAsia="宋体" w:hAnsi="宋体" w:hint="eastAsia"/>
          </w:rPr>
          <w:t>6.2 芯柱施工</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_Toc193287387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5</w:t>
        </w:r>
        <w:r>
          <w:rPr>
            <w:rFonts w:ascii="宋体" w:eastAsia="宋体" w:hAnsi="宋体" w:hint="eastAsia"/>
          </w:rPr>
          <w:fldChar w:fldCharType="end"/>
        </w:r>
      </w:hyperlink>
    </w:p>
    <w:p w14:paraId="76984970" w14:textId="77777777" w:rsidR="008B0BD0" w:rsidRDefault="00000000">
      <w:pPr>
        <w:pStyle w:val="TOC3"/>
        <w:tabs>
          <w:tab w:val="right" w:leader="dot" w:pos="9344"/>
        </w:tabs>
        <w:rPr>
          <w:rFonts w:ascii="宋体" w:eastAsia="宋体" w:hAnsi="宋体" w:hint="eastAsia"/>
          <w:sz w:val="22"/>
          <w:szCs w:val="24"/>
          <w14:ligatures w14:val="standardContextual"/>
        </w:rPr>
      </w:pPr>
      <w:hyperlink w:anchor="_Toc193287388" w:history="1">
        <w:r>
          <w:rPr>
            <w:rStyle w:val="afffb"/>
            <w:rFonts w:ascii="宋体" w:eastAsia="宋体" w:hAnsi="宋体" w:hint="eastAsia"/>
          </w:rPr>
          <w:t>6.3 基坑开挖和复合施工</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_Toc193287388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7</w:t>
        </w:r>
        <w:r>
          <w:rPr>
            <w:rFonts w:ascii="宋体" w:eastAsia="宋体" w:hAnsi="宋体" w:hint="eastAsia"/>
          </w:rPr>
          <w:fldChar w:fldCharType="end"/>
        </w:r>
      </w:hyperlink>
    </w:p>
    <w:p w14:paraId="4B465708" w14:textId="77777777" w:rsidR="008B0BD0" w:rsidRDefault="00000000">
      <w:pPr>
        <w:pStyle w:val="TOC2"/>
        <w:tabs>
          <w:tab w:val="right" w:leader="dot" w:pos="9344"/>
        </w:tabs>
        <w:rPr>
          <w:rFonts w:ascii="宋体" w:eastAsia="宋体" w:hAnsi="宋体" w:hint="eastAsia"/>
          <w:sz w:val="22"/>
          <w:szCs w:val="24"/>
          <w14:ligatures w14:val="standardContextual"/>
        </w:rPr>
      </w:pPr>
      <w:hyperlink w:anchor="_Toc193287389" w:history="1">
        <w:r>
          <w:rPr>
            <w:rStyle w:val="afffb"/>
            <w:rFonts w:ascii="宋体" w:eastAsia="宋体" w:hAnsi="宋体" w:hint="eastAsia"/>
          </w:rPr>
          <w:t>7 质量验收</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_Toc193287389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8</w:t>
        </w:r>
        <w:r>
          <w:rPr>
            <w:rFonts w:ascii="宋体" w:eastAsia="宋体" w:hAnsi="宋体" w:hint="eastAsia"/>
          </w:rPr>
          <w:fldChar w:fldCharType="end"/>
        </w:r>
      </w:hyperlink>
    </w:p>
    <w:p w14:paraId="6485A5CC" w14:textId="77777777" w:rsidR="008B0BD0" w:rsidRDefault="00000000">
      <w:pPr>
        <w:pStyle w:val="TOC3"/>
        <w:tabs>
          <w:tab w:val="right" w:leader="dot" w:pos="9344"/>
        </w:tabs>
        <w:rPr>
          <w:rFonts w:ascii="宋体" w:eastAsia="宋体" w:hAnsi="宋体" w:hint="eastAsia"/>
          <w:sz w:val="22"/>
          <w:szCs w:val="24"/>
          <w14:ligatures w14:val="standardContextual"/>
        </w:rPr>
      </w:pPr>
      <w:hyperlink w:anchor="_Toc193287390" w:history="1">
        <w:r>
          <w:rPr>
            <w:rStyle w:val="afffb"/>
            <w:rFonts w:ascii="宋体" w:eastAsia="宋体" w:hAnsi="宋体" w:hint="eastAsia"/>
          </w:rPr>
          <w:t>7.1 预制芯柱制作验收</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_Toc193287390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8</w:t>
        </w:r>
        <w:r>
          <w:rPr>
            <w:rFonts w:ascii="宋体" w:eastAsia="宋体" w:hAnsi="宋体" w:hint="eastAsia"/>
          </w:rPr>
          <w:fldChar w:fldCharType="end"/>
        </w:r>
      </w:hyperlink>
    </w:p>
    <w:p w14:paraId="76365F6B" w14:textId="77777777" w:rsidR="008B0BD0" w:rsidRDefault="00000000">
      <w:pPr>
        <w:pStyle w:val="TOC3"/>
        <w:tabs>
          <w:tab w:val="right" w:leader="dot" w:pos="9344"/>
        </w:tabs>
        <w:rPr>
          <w:rFonts w:ascii="宋体" w:eastAsia="宋体" w:hAnsi="宋体" w:hint="eastAsia"/>
          <w:sz w:val="22"/>
          <w:szCs w:val="24"/>
          <w14:ligatures w14:val="standardContextual"/>
        </w:rPr>
      </w:pPr>
      <w:hyperlink w:anchor="_Toc193287391" w:history="1">
        <w:r>
          <w:rPr>
            <w:rStyle w:val="afffb"/>
            <w:rFonts w:ascii="宋体" w:eastAsia="宋体" w:hAnsi="宋体" w:hint="eastAsia"/>
          </w:rPr>
          <w:t>7.2 预制芯柱和立柱桩施工验收</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_Toc193287391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9</w:t>
        </w:r>
        <w:r>
          <w:rPr>
            <w:rFonts w:ascii="宋体" w:eastAsia="宋体" w:hAnsi="宋体" w:hint="eastAsia"/>
          </w:rPr>
          <w:fldChar w:fldCharType="end"/>
        </w:r>
      </w:hyperlink>
    </w:p>
    <w:p w14:paraId="1EF783AF" w14:textId="77777777" w:rsidR="008B0BD0" w:rsidRDefault="00000000">
      <w:pPr>
        <w:pStyle w:val="TOC3"/>
        <w:tabs>
          <w:tab w:val="right" w:leader="dot" w:pos="9344"/>
        </w:tabs>
        <w:rPr>
          <w:rFonts w:hint="eastAsia"/>
          <w:sz w:val="22"/>
          <w:szCs w:val="24"/>
          <w14:ligatures w14:val="standardContextual"/>
        </w:rPr>
      </w:pPr>
      <w:hyperlink w:anchor="_Toc193287392" w:history="1">
        <w:r>
          <w:rPr>
            <w:rStyle w:val="afffb"/>
            <w:rFonts w:ascii="宋体" w:eastAsia="宋体" w:hAnsi="宋体" w:hint="eastAsia"/>
          </w:rPr>
          <w:t>7.3 复合施工验收</w:t>
        </w:r>
        <w:r>
          <w:rPr>
            <w:rFonts w:ascii="宋体" w:eastAsia="宋体" w:hAnsi="宋体" w:hint="eastAsia"/>
          </w:rPr>
          <w:tab/>
        </w:r>
        <w:r>
          <w:rPr>
            <w:rFonts w:ascii="宋体" w:eastAsia="宋体" w:hAnsi="宋体" w:hint="eastAsia"/>
          </w:rPr>
          <w:fldChar w:fldCharType="begin"/>
        </w:r>
        <w:r>
          <w:rPr>
            <w:rFonts w:ascii="宋体" w:eastAsia="宋体" w:hAnsi="宋体" w:hint="eastAsia"/>
          </w:rPr>
          <w:instrText xml:space="preserve"> </w:instrText>
        </w:r>
        <w:r>
          <w:rPr>
            <w:rFonts w:ascii="宋体" w:eastAsia="宋体" w:hAnsi="宋体"/>
          </w:rPr>
          <w:instrText>PAGEREF _Toc193287392 \h</w:instrText>
        </w:r>
        <w:r>
          <w:rPr>
            <w:rFonts w:ascii="宋体" w:eastAsia="宋体" w:hAnsi="宋体" w:hint="eastAsia"/>
          </w:rPr>
          <w:instrText xml:space="preserve"> </w:instrText>
        </w:r>
        <w:r>
          <w:rPr>
            <w:rFonts w:ascii="宋体" w:eastAsia="宋体" w:hAnsi="宋体" w:hint="eastAsia"/>
          </w:rPr>
        </w:r>
        <w:r>
          <w:rPr>
            <w:rFonts w:ascii="宋体" w:eastAsia="宋体" w:hAnsi="宋体" w:hint="eastAsia"/>
          </w:rPr>
          <w:fldChar w:fldCharType="separate"/>
        </w:r>
        <w:r>
          <w:rPr>
            <w:rFonts w:ascii="宋体" w:eastAsia="宋体" w:hAnsi="宋体" w:hint="eastAsia"/>
          </w:rPr>
          <w:t>10</w:t>
        </w:r>
        <w:r>
          <w:rPr>
            <w:rFonts w:ascii="宋体" w:eastAsia="宋体" w:hAnsi="宋体" w:hint="eastAsia"/>
          </w:rPr>
          <w:fldChar w:fldCharType="end"/>
        </w:r>
      </w:hyperlink>
    </w:p>
    <w:p w14:paraId="18839523" w14:textId="77777777" w:rsidR="008B0BD0" w:rsidRDefault="00000000">
      <w:pPr>
        <w:pStyle w:val="affff2"/>
      </w:pPr>
      <w:r>
        <w:lastRenderedPageBreak/>
        <w:fldChar w:fldCharType="end"/>
      </w:r>
      <w:bookmarkStart w:id="28" w:name="_Toc167100742"/>
      <w:bookmarkStart w:id="29" w:name="_Toc193287374"/>
      <w:r>
        <w:rPr>
          <w:rFonts w:hint="eastAsia"/>
        </w:rPr>
        <w:t>前</w:t>
      </w:r>
      <w:bookmarkStart w:id="30" w:name="BKQY"/>
      <w:r>
        <w:t>  </w:t>
      </w:r>
      <w:r>
        <w:rPr>
          <w:rFonts w:hint="eastAsia"/>
        </w:rPr>
        <w:t>言</w:t>
      </w:r>
      <w:bookmarkEnd w:id="28"/>
      <w:bookmarkEnd w:id="29"/>
      <w:bookmarkEnd w:id="30"/>
    </w:p>
    <w:p w14:paraId="0AFD1AE9" w14:textId="77777777" w:rsidR="008B0BD0" w:rsidRDefault="00000000">
      <w:pPr>
        <w:pStyle w:val="afffe"/>
      </w:pPr>
      <w:r>
        <w:rPr>
          <w:rFonts w:hint="eastAsia"/>
        </w:rPr>
        <w:t>本文件按照GB/T 1.1-2020《标准化工作导则 第1部分：标准化文件的结构和起草规则》的规定起草。</w:t>
      </w:r>
    </w:p>
    <w:p w14:paraId="2AFE2327" w14:textId="77777777" w:rsidR="008B0BD0" w:rsidRDefault="00000000">
      <w:pPr>
        <w:pStyle w:val="afffe"/>
      </w:pPr>
      <w:r>
        <w:rPr>
          <w:rFonts w:hint="eastAsia"/>
        </w:rPr>
        <w:t>请注意本文件的某些内容可能涉及专利。本文件的发布机构不承担识别专利的责任。</w:t>
      </w:r>
    </w:p>
    <w:p w14:paraId="72976615" w14:textId="77777777" w:rsidR="008B0BD0" w:rsidRDefault="00000000">
      <w:pPr>
        <w:pStyle w:val="afffe"/>
      </w:pPr>
      <w:r>
        <w:rPr>
          <w:rFonts w:hint="eastAsia"/>
        </w:rPr>
        <w:t>本文件由山东省交通运输厅提出并组织实施。</w:t>
      </w:r>
    </w:p>
    <w:p w14:paraId="35342871" w14:textId="77777777" w:rsidR="008B0BD0" w:rsidRDefault="00000000">
      <w:pPr>
        <w:pStyle w:val="afffe"/>
      </w:pPr>
      <w:r>
        <w:rPr>
          <w:rFonts w:hint="eastAsia"/>
        </w:rPr>
        <w:t>本文件由山东省交通运输标准化技术委员会归口。</w:t>
      </w:r>
    </w:p>
    <w:p w14:paraId="2D0057C9" w14:textId="77777777" w:rsidR="008B0BD0" w:rsidRDefault="008B0BD0">
      <w:pPr>
        <w:pStyle w:val="afffe"/>
        <w:ind w:firstLineChars="0" w:firstLine="0"/>
      </w:pPr>
    </w:p>
    <w:p w14:paraId="0134809B" w14:textId="77777777" w:rsidR="008B0BD0" w:rsidRDefault="008B0BD0">
      <w:pPr>
        <w:pStyle w:val="afffe"/>
        <w:sectPr w:rsidR="008B0BD0">
          <w:headerReference w:type="even" r:id="rId10"/>
          <w:headerReference w:type="default" r:id="rId11"/>
          <w:footerReference w:type="even" r:id="rId12"/>
          <w:footerReference w:type="default" r:id="rId13"/>
          <w:pgSz w:w="11906" w:h="16838"/>
          <w:pgMar w:top="567" w:right="1134" w:bottom="1134" w:left="1418" w:header="1418" w:footer="1134" w:gutter="0"/>
          <w:pgNumType w:fmt="upperRoman" w:start="1"/>
          <w:cols w:space="720"/>
          <w:formProt w:val="0"/>
          <w:docGrid w:type="lines" w:linePitch="312"/>
        </w:sectPr>
      </w:pPr>
    </w:p>
    <w:p w14:paraId="563671D4" w14:textId="77777777" w:rsidR="008B0BD0" w:rsidRDefault="00000000">
      <w:pPr>
        <w:pStyle w:val="affff2"/>
      </w:pPr>
      <w:bookmarkStart w:id="31" w:name="_Toc129266219"/>
      <w:bookmarkStart w:id="32" w:name="_Toc105593888"/>
      <w:bookmarkStart w:id="33" w:name="_Toc132710596"/>
      <w:bookmarkStart w:id="34" w:name="StandardName"/>
      <w:bookmarkStart w:id="35" w:name="_Toc103352262"/>
      <w:bookmarkStart w:id="36" w:name="_Toc193287375"/>
      <w:bookmarkStart w:id="37" w:name="_Toc22117"/>
      <w:bookmarkStart w:id="38" w:name="_Toc167100743"/>
      <w:r>
        <w:rPr>
          <w:rFonts w:hint="eastAsia"/>
        </w:rPr>
        <w:lastRenderedPageBreak/>
        <w:t>基坑复合立柱</w:t>
      </w:r>
      <w:bookmarkEnd w:id="31"/>
      <w:bookmarkEnd w:id="32"/>
      <w:bookmarkEnd w:id="33"/>
      <w:bookmarkEnd w:id="34"/>
      <w:bookmarkEnd w:id="35"/>
      <w:r>
        <w:rPr>
          <w:rFonts w:hint="eastAsia"/>
        </w:rPr>
        <w:t>技术规范</w:t>
      </w:r>
      <w:bookmarkEnd w:id="36"/>
      <w:bookmarkEnd w:id="37"/>
      <w:bookmarkEnd w:id="38"/>
    </w:p>
    <w:p w14:paraId="01B9C2B7" w14:textId="77777777" w:rsidR="008B0BD0" w:rsidRDefault="00000000">
      <w:pPr>
        <w:pStyle w:val="a4"/>
      </w:pPr>
      <w:bookmarkStart w:id="39" w:name="_Toc167100744"/>
      <w:bookmarkStart w:id="40" w:name="_Toc193287376"/>
      <w:r>
        <w:rPr>
          <w:rFonts w:hint="eastAsia"/>
        </w:rPr>
        <w:t>范围</w:t>
      </w:r>
      <w:bookmarkEnd w:id="39"/>
      <w:bookmarkEnd w:id="40"/>
    </w:p>
    <w:p w14:paraId="4E6F8640" w14:textId="77777777" w:rsidR="008B0BD0" w:rsidRDefault="00000000">
      <w:pPr>
        <w:pStyle w:val="afffe"/>
      </w:pPr>
      <w:r>
        <w:rPr>
          <w:rFonts w:hint="eastAsia"/>
        </w:rPr>
        <w:t>本文件规定了基坑复合立柱的设计、芯柱的制作、吊运和堆放、施工及质量</w:t>
      </w:r>
      <w:r>
        <w:rPr>
          <w:rFonts w:hint="eastAsia"/>
        </w:rPr>
        <w:t>验收</w:t>
      </w:r>
      <w:r>
        <w:rPr>
          <w:rFonts w:hint="eastAsia"/>
        </w:rPr>
        <w:t>的基本要求。</w:t>
      </w:r>
    </w:p>
    <w:p w14:paraId="277E1FB1" w14:textId="77777777" w:rsidR="008B0BD0" w:rsidRDefault="00000000">
      <w:pPr>
        <w:pStyle w:val="afffe"/>
      </w:pPr>
      <w:r>
        <w:rPr>
          <w:rFonts w:hint="eastAsia"/>
        </w:rPr>
        <w:t>本文件适用于工业与民用建筑、市政、地铁等基坑工程中复合立柱的设计、预制、施工和质量验收。</w:t>
      </w:r>
    </w:p>
    <w:p w14:paraId="2C929CFF" w14:textId="77777777" w:rsidR="008B0BD0" w:rsidRDefault="00000000">
      <w:pPr>
        <w:pStyle w:val="a4"/>
      </w:pPr>
      <w:bookmarkStart w:id="41" w:name="_Toc193287377"/>
      <w:bookmarkStart w:id="42" w:name="_Toc167100745"/>
      <w:r>
        <w:rPr>
          <w:rFonts w:hint="eastAsia"/>
        </w:rPr>
        <w:t>规范性引用文件</w:t>
      </w:r>
      <w:bookmarkEnd w:id="41"/>
      <w:bookmarkEnd w:id="42"/>
    </w:p>
    <w:p w14:paraId="0F9DB85C" w14:textId="77777777" w:rsidR="008B0BD0" w:rsidRDefault="00000000">
      <w:pPr>
        <w:pStyle w:val="afffe"/>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0B64D1B" w14:textId="77777777" w:rsidR="008B0BD0" w:rsidRDefault="00000000">
      <w:pPr>
        <w:pStyle w:val="afffe"/>
      </w:pPr>
      <w:r>
        <w:rPr>
          <w:rFonts w:hint="eastAsia"/>
        </w:rPr>
        <w:t>GB 13476  先张法预应力混凝土管桩</w:t>
      </w:r>
    </w:p>
    <w:p w14:paraId="5CB8DAAD" w14:textId="77777777" w:rsidR="008B0BD0" w:rsidRDefault="00000000">
      <w:pPr>
        <w:pStyle w:val="afffe"/>
      </w:pPr>
      <w:r>
        <w:rPr>
          <w:rFonts w:hint="eastAsia"/>
        </w:rPr>
        <w:t>GB</w:t>
      </w:r>
      <w:r>
        <w:t xml:space="preserve"> </w:t>
      </w:r>
      <w:r>
        <w:rPr>
          <w:rFonts w:hint="eastAsia"/>
        </w:rPr>
        <w:t>50010</w:t>
      </w:r>
      <w:r>
        <w:t xml:space="preserve">  </w:t>
      </w:r>
      <w:r>
        <w:rPr>
          <w:rFonts w:hint="eastAsia"/>
        </w:rPr>
        <w:t>混凝土结构设计规范</w:t>
      </w:r>
    </w:p>
    <w:p w14:paraId="3AA9FED5" w14:textId="77777777" w:rsidR="008B0BD0" w:rsidRDefault="00000000">
      <w:pPr>
        <w:pStyle w:val="afffe"/>
      </w:pPr>
      <w:r>
        <w:rPr>
          <w:rFonts w:hint="eastAsia"/>
        </w:rPr>
        <w:t>GB 50108  地下工程防水技术规范</w:t>
      </w:r>
    </w:p>
    <w:p w14:paraId="26A1FF02" w14:textId="77777777" w:rsidR="008B0BD0" w:rsidRDefault="00000000">
      <w:pPr>
        <w:pStyle w:val="afffe"/>
      </w:pPr>
      <w:r>
        <w:rPr>
          <w:rFonts w:hint="eastAsia"/>
        </w:rPr>
        <w:t>GB</w:t>
      </w:r>
      <w:r>
        <w:t xml:space="preserve"> </w:t>
      </w:r>
      <w:r>
        <w:rPr>
          <w:rFonts w:hint="eastAsia"/>
        </w:rPr>
        <w:t>50204</w:t>
      </w:r>
      <w:r>
        <w:t xml:space="preserve">  </w:t>
      </w:r>
      <w:r>
        <w:rPr>
          <w:rFonts w:hint="eastAsia"/>
        </w:rPr>
        <w:t>混凝土结构工程施工质量验收规范</w:t>
      </w:r>
    </w:p>
    <w:p w14:paraId="2FC0AA19" w14:textId="77777777" w:rsidR="008B0BD0" w:rsidRDefault="00000000">
      <w:pPr>
        <w:pStyle w:val="afffe"/>
      </w:pPr>
      <w:r>
        <w:rPr>
          <w:rFonts w:hint="eastAsia"/>
        </w:rPr>
        <w:t>GB 50367  混凝土结构加固技术规范</w:t>
      </w:r>
    </w:p>
    <w:p w14:paraId="0D4A47AB" w14:textId="77777777" w:rsidR="008B0BD0" w:rsidRDefault="00000000">
      <w:pPr>
        <w:pStyle w:val="afffe"/>
      </w:pPr>
      <w:r>
        <w:t xml:space="preserve">GB </w:t>
      </w:r>
      <w:r>
        <w:rPr>
          <w:rFonts w:hint="eastAsia"/>
        </w:rPr>
        <w:t>50666  混凝土结构工程施工规范</w:t>
      </w:r>
    </w:p>
    <w:p w14:paraId="75AC22A4" w14:textId="77777777" w:rsidR="008B0BD0" w:rsidRDefault="00000000">
      <w:pPr>
        <w:pStyle w:val="afffe"/>
      </w:pPr>
      <w:r>
        <w:t>GB 55006  钢结构</w:t>
      </w:r>
      <w:r>
        <w:rPr>
          <w:rFonts w:hint="eastAsia"/>
        </w:rPr>
        <w:t>通用</w:t>
      </w:r>
      <w:r>
        <w:t>规范</w:t>
      </w:r>
    </w:p>
    <w:p w14:paraId="67B9DE45" w14:textId="77777777" w:rsidR="008B0BD0" w:rsidRDefault="00000000">
      <w:pPr>
        <w:pStyle w:val="afffe"/>
      </w:pPr>
      <w:r>
        <w:rPr>
          <w:rFonts w:hint="eastAsia"/>
        </w:rPr>
        <w:t>JGJ</w:t>
      </w:r>
      <w:r>
        <w:t xml:space="preserve"> </w:t>
      </w:r>
      <w:r>
        <w:rPr>
          <w:rFonts w:hint="eastAsia"/>
        </w:rPr>
        <w:t>94</w:t>
      </w:r>
      <w:r>
        <w:t xml:space="preserve">  </w:t>
      </w:r>
      <w:r>
        <w:rPr>
          <w:rFonts w:hint="eastAsia"/>
        </w:rPr>
        <w:t>建筑桩基技术规范</w:t>
      </w:r>
    </w:p>
    <w:p w14:paraId="6090DE19" w14:textId="77777777" w:rsidR="008B0BD0" w:rsidRDefault="00000000">
      <w:pPr>
        <w:pStyle w:val="afffe"/>
      </w:pPr>
      <w:r>
        <w:rPr>
          <w:rFonts w:hint="eastAsia"/>
        </w:rPr>
        <w:t>JGJ/T 395  铸钢结构技术规程</w:t>
      </w:r>
    </w:p>
    <w:p w14:paraId="30A5478A" w14:textId="77777777" w:rsidR="008B0BD0" w:rsidRDefault="00000000">
      <w:pPr>
        <w:pStyle w:val="a4"/>
      </w:pPr>
      <w:bookmarkStart w:id="43" w:name="_Toc193287378"/>
      <w:bookmarkStart w:id="44" w:name="_Toc167100746"/>
      <w:r>
        <w:rPr>
          <w:rFonts w:hint="eastAsia"/>
        </w:rPr>
        <w:t>术语和定义</w:t>
      </w:r>
      <w:bookmarkEnd w:id="43"/>
      <w:bookmarkEnd w:id="44"/>
    </w:p>
    <w:p w14:paraId="4FB64688" w14:textId="77777777" w:rsidR="008B0BD0" w:rsidRDefault="00000000">
      <w:pPr>
        <w:pStyle w:val="afffe"/>
      </w:pPr>
      <w:r>
        <w:rPr>
          <w:rFonts w:hint="eastAsia"/>
        </w:rPr>
        <w:t>下列术语和定义适用于本文件。</w:t>
      </w:r>
    </w:p>
    <w:p w14:paraId="1EBCC199" w14:textId="77777777" w:rsidR="008B0BD0" w:rsidRDefault="008B0BD0">
      <w:pPr>
        <w:pStyle w:val="a5"/>
        <w:outlineLvl w:val="9"/>
      </w:pPr>
      <w:bookmarkStart w:id="45" w:name="_Toc132710600"/>
      <w:bookmarkStart w:id="46" w:name="_Toc167100747"/>
      <w:bookmarkStart w:id="47" w:name="_Toc129266223"/>
      <w:bookmarkStart w:id="48" w:name="_Toc128749189"/>
      <w:bookmarkEnd w:id="45"/>
      <w:bookmarkEnd w:id="46"/>
      <w:bookmarkEnd w:id="47"/>
      <w:bookmarkEnd w:id="48"/>
    </w:p>
    <w:p w14:paraId="4A5BDD87" w14:textId="77777777" w:rsidR="008B0BD0" w:rsidRDefault="00000000">
      <w:pPr>
        <w:pStyle w:val="a5"/>
        <w:numPr>
          <w:ilvl w:val="1"/>
          <w:numId w:val="0"/>
        </w:numPr>
        <w:spacing w:afterLines="0" w:after="0"/>
        <w:ind w:firstLineChars="200" w:firstLine="420"/>
        <w:outlineLvl w:val="9"/>
        <w:rPr>
          <w:rFonts w:ascii="Times New Roman"/>
        </w:rPr>
      </w:pPr>
      <w:r>
        <w:rPr>
          <w:rFonts w:ascii="Times New Roman" w:hint="eastAsia"/>
        </w:rPr>
        <w:t>预制芯柱</w:t>
      </w:r>
      <w:r>
        <w:rPr>
          <w:rFonts w:ascii="Times New Roman"/>
        </w:rPr>
        <w:t xml:space="preserve">　</w:t>
      </w:r>
      <w:r>
        <w:rPr>
          <w:rFonts w:ascii="Times New Roman" w:hint="eastAsia"/>
          <w:b/>
          <w:bCs/>
        </w:rPr>
        <w:t>p</w:t>
      </w:r>
      <w:r>
        <w:rPr>
          <w:rFonts w:ascii="Times New Roman"/>
          <w:b/>
          <w:bCs/>
        </w:rPr>
        <w:t>re</w:t>
      </w:r>
      <w:r>
        <w:rPr>
          <w:rFonts w:ascii="Times New Roman" w:hint="eastAsia"/>
          <w:b/>
          <w:bCs/>
        </w:rPr>
        <w:t>cast</w:t>
      </w:r>
      <w:r>
        <w:rPr>
          <w:rFonts w:ascii="Times New Roman"/>
          <w:b/>
          <w:bCs/>
        </w:rPr>
        <w:t xml:space="preserve"> core column</w:t>
      </w:r>
    </w:p>
    <w:p w14:paraId="414E60CE" w14:textId="77777777" w:rsidR="008B0BD0" w:rsidRDefault="00000000">
      <w:pPr>
        <w:pStyle w:val="afffe"/>
        <w:adjustRightInd w:val="0"/>
        <w:snapToGrid w:val="0"/>
        <w:rPr>
          <w:rFonts w:ascii="Times New Roman"/>
        </w:rPr>
      </w:pPr>
      <w:r>
        <w:rPr>
          <w:rFonts w:ascii="Times New Roman" w:hint="eastAsia"/>
        </w:rPr>
        <w:t>工厂预制的、在基坑支护阶段作为临时支柱，后期经过增大截面成为结构柱的钢筋混凝土构件</w:t>
      </w:r>
      <w:r>
        <w:rPr>
          <w:rFonts w:ascii="Times New Roman"/>
        </w:rPr>
        <w:t>。</w:t>
      </w:r>
    </w:p>
    <w:p w14:paraId="76E493BA" w14:textId="77777777" w:rsidR="008B0BD0" w:rsidRDefault="008B0BD0">
      <w:pPr>
        <w:pStyle w:val="a5"/>
        <w:outlineLvl w:val="9"/>
        <w:rPr>
          <w:rFonts w:ascii="Times New Roman"/>
        </w:rPr>
      </w:pPr>
      <w:bookmarkStart w:id="49" w:name="_Toc129266224"/>
      <w:bookmarkStart w:id="50" w:name="_Toc128749192"/>
      <w:bookmarkStart w:id="51" w:name="_Toc132710601"/>
      <w:bookmarkStart w:id="52" w:name="_Toc128749190"/>
      <w:bookmarkStart w:id="53" w:name="_Toc167100748"/>
      <w:bookmarkEnd w:id="49"/>
      <w:bookmarkEnd w:id="50"/>
      <w:bookmarkEnd w:id="51"/>
      <w:bookmarkEnd w:id="52"/>
      <w:bookmarkEnd w:id="53"/>
    </w:p>
    <w:p w14:paraId="3A043F0E" w14:textId="77777777" w:rsidR="008B0BD0" w:rsidRDefault="00000000">
      <w:pPr>
        <w:pStyle w:val="a5"/>
        <w:numPr>
          <w:ilvl w:val="1"/>
          <w:numId w:val="0"/>
        </w:numPr>
        <w:spacing w:afterLines="0" w:after="0"/>
        <w:ind w:firstLineChars="200" w:firstLine="420"/>
        <w:outlineLvl w:val="9"/>
        <w:rPr>
          <w:rFonts w:ascii="Times New Roman"/>
        </w:rPr>
      </w:pPr>
      <w:r>
        <w:rPr>
          <w:rFonts w:ascii="Times New Roman" w:hint="eastAsia"/>
        </w:rPr>
        <w:t>复合立柱</w:t>
      </w:r>
      <w:r>
        <w:rPr>
          <w:rFonts w:ascii="Times New Roman"/>
        </w:rPr>
        <w:t xml:space="preserve">　</w:t>
      </w:r>
      <w:r>
        <w:rPr>
          <w:rFonts w:ascii="Times New Roman"/>
          <w:b/>
          <w:bCs/>
        </w:rPr>
        <w:t>composite columns</w:t>
      </w:r>
    </w:p>
    <w:p w14:paraId="4FF3D8EC" w14:textId="77777777" w:rsidR="008B0BD0" w:rsidRDefault="00000000">
      <w:pPr>
        <w:pStyle w:val="afffe"/>
        <w:rPr>
          <w:rFonts w:ascii="Times New Roman"/>
        </w:rPr>
      </w:pPr>
      <w:r>
        <w:rPr>
          <w:rFonts w:ascii="Times New Roman" w:hint="eastAsia"/>
        </w:rPr>
        <w:t>预制芯柱通过扩大截面形成的钢筋混凝土结构柱。</w:t>
      </w:r>
      <w:bookmarkStart w:id="54" w:name="_Toc129266226"/>
      <w:bookmarkStart w:id="55" w:name="_Toc128749194"/>
      <w:bookmarkStart w:id="56" w:name="_Toc132710602"/>
      <w:bookmarkEnd w:id="54"/>
      <w:bookmarkEnd w:id="55"/>
      <w:bookmarkEnd w:id="56"/>
    </w:p>
    <w:p w14:paraId="58D5B198" w14:textId="77777777" w:rsidR="008B0BD0" w:rsidRDefault="00000000">
      <w:pPr>
        <w:pStyle w:val="afffe"/>
        <w:rPr>
          <w:rFonts w:ascii="Times New Roman"/>
        </w:rPr>
      </w:pPr>
      <w:r>
        <w:rPr>
          <w:rFonts w:ascii="黑体" w:eastAsia="黑体" w:hAnsi="黑体" w:cs="黑体" w:hint="eastAsia"/>
        </w:rPr>
        <w:t>注：</w:t>
      </w:r>
      <w:r>
        <w:rPr>
          <w:rFonts w:ascii="Times New Roman" w:hint="eastAsia"/>
        </w:rPr>
        <w:t>复合立柱示意图见图</w:t>
      </w:r>
      <w:r>
        <w:rPr>
          <w:rFonts w:ascii="Times New Roman" w:hint="eastAsia"/>
        </w:rPr>
        <w:t>1</w:t>
      </w:r>
      <w:r>
        <w:rPr>
          <w:rFonts w:ascii="Times New Roman" w:hint="eastAsia"/>
        </w:rPr>
        <w:t>。</w:t>
      </w:r>
    </w:p>
    <w:p w14:paraId="190B0896" w14:textId="77777777" w:rsidR="008B0BD0" w:rsidRDefault="00000000">
      <w:pPr>
        <w:pStyle w:val="afffe"/>
        <w:ind w:firstLineChars="0" w:firstLine="0"/>
        <w:jc w:val="center"/>
        <w:rPr>
          <w:rFonts w:ascii="Times New Roman"/>
        </w:rPr>
      </w:pPr>
      <w:r>
        <w:rPr>
          <w:noProof/>
        </w:rPr>
        <w:lastRenderedPageBreak/>
        <w:drawing>
          <wp:inline distT="0" distB="0" distL="114300" distR="114300" wp14:anchorId="24247596" wp14:editId="25BFBF28">
            <wp:extent cx="1457325" cy="12763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1457325" cy="1276350"/>
                    </a:xfrm>
                    <a:prstGeom prst="rect">
                      <a:avLst/>
                    </a:prstGeom>
                    <a:noFill/>
                    <a:ln>
                      <a:noFill/>
                    </a:ln>
                  </pic:spPr>
                </pic:pic>
              </a:graphicData>
            </a:graphic>
          </wp:inline>
        </w:drawing>
      </w:r>
    </w:p>
    <w:p w14:paraId="57551957" w14:textId="77777777" w:rsidR="008B0BD0" w:rsidRDefault="00000000">
      <w:pPr>
        <w:pStyle w:val="afffe"/>
        <w:ind w:firstLine="360"/>
        <w:jc w:val="left"/>
        <w:rPr>
          <w:sz w:val="18"/>
          <w:szCs w:val="18"/>
        </w:rPr>
      </w:pPr>
      <w:r>
        <w:rPr>
          <w:rFonts w:hint="eastAsia"/>
          <w:sz w:val="18"/>
          <w:szCs w:val="18"/>
        </w:rPr>
        <w:t>标引序号说明：</w:t>
      </w:r>
    </w:p>
    <w:p w14:paraId="76B9F6F1" w14:textId="77777777" w:rsidR="008B0BD0" w:rsidRDefault="00000000">
      <w:pPr>
        <w:pStyle w:val="afffe"/>
        <w:autoSpaceDE/>
        <w:autoSpaceDN/>
        <w:ind w:firstLine="360"/>
        <w:jc w:val="left"/>
        <w:rPr>
          <w:sz w:val="18"/>
          <w:szCs w:val="18"/>
        </w:rPr>
      </w:pPr>
      <w:r>
        <w:rPr>
          <w:rFonts w:hint="eastAsia"/>
          <w:sz w:val="18"/>
          <w:szCs w:val="18"/>
        </w:rPr>
        <w:t>1——复合立柱；</w:t>
      </w:r>
    </w:p>
    <w:p w14:paraId="574381AC" w14:textId="77777777" w:rsidR="008B0BD0" w:rsidRDefault="00000000">
      <w:pPr>
        <w:pStyle w:val="afffe"/>
        <w:autoSpaceDE/>
        <w:autoSpaceDN/>
        <w:ind w:firstLine="360"/>
        <w:jc w:val="left"/>
        <w:rPr>
          <w:sz w:val="18"/>
          <w:szCs w:val="18"/>
        </w:rPr>
      </w:pPr>
      <w:r>
        <w:rPr>
          <w:rFonts w:hint="eastAsia"/>
          <w:sz w:val="18"/>
          <w:szCs w:val="18"/>
        </w:rPr>
        <w:t>2——预制芯柱；</w:t>
      </w:r>
    </w:p>
    <w:p w14:paraId="53D282B8" w14:textId="77777777" w:rsidR="008B0BD0" w:rsidRDefault="00000000">
      <w:pPr>
        <w:pStyle w:val="afffe"/>
        <w:autoSpaceDE/>
        <w:autoSpaceDN/>
        <w:ind w:firstLine="360"/>
        <w:jc w:val="left"/>
        <w:rPr>
          <w:sz w:val="18"/>
          <w:szCs w:val="18"/>
        </w:rPr>
      </w:pPr>
      <w:r>
        <w:rPr>
          <w:rFonts w:hint="eastAsia"/>
          <w:sz w:val="18"/>
          <w:szCs w:val="18"/>
        </w:rPr>
        <w:t>3——锚筋。</w:t>
      </w:r>
    </w:p>
    <w:p w14:paraId="4DEDA183" w14:textId="77777777" w:rsidR="008B0BD0" w:rsidRDefault="00000000">
      <w:pPr>
        <w:pStyle w:val="af4"/>
      </w:pPr>
      <w:r>
        <w:rPr>
          <w:rFonts w:hint="eastAsia"/>
        </w:rPr>
        <w:t>复合立柱连接方式示意图</w:t>
      </w:r>
    </w:p>
    <w:p w14:paraId="305A022C" w14:textId="77777777" w:rsidR="008B0BD0" w:rsidRDefault="008B0BD0">
      <w:pPr>
        <w:pStyle w:val="a5"/>
        <w:outlineLvl w:val="9"/>
        <w:rPr>
          <w:rFonts w:ascii="Times New Roman"/>
        </w:rPr>
      </w:pPr>
      <w:bookmarkStart w:id="57" w:name="_Toc129266227"/>
      <w:bookmarkStart w:id="58" w:name="_Toc128749195"/>
      <w:bookmarkStart w:id="59" w:name="_Toc167100749"/>
      <w:bookmarkStart w:id="60" w:name="_Toc132710603"/>
      <w:bookmarkEnd w:id="57"/>
      <w:bookmarkEnd w:id="58"/>
      <w:bookmarkEnd w:id="59"/>
      <w:bookmarkEnd w:id="60"/>
    </w:p>
    <w:p w14:paraId="081214D3" w14:textId="77777777" w:rsidR="008B0BD0" w:rsidRDefault="00000000">
      <w:pPr>
        <w:pStyle w:val="a5"/>
        <w:numPr>
          <w:ilvl w:val="1"/>
          <w:numId w:val="0"/>
        </w:numPr>
        <w:spacing w:afterLines="0" w:after="0"/>
        <w:ind w:firstLineChars="200" w:firstLine="420"/>
        <w:outlineLvl w:val="9"/>
        <w:rPr>
          <w:rFonts w:ascii="Times New Roman"/>
        </w:rPr>
      </w:pPr>
      <w:r>
        <w:rPr>
          <w:rFonts w:ascii="Times New Roman" w:hint="eastAsia"/>
        </w:rPr>
        <w:t>接柱平台</w:t>
      </w:r>
      <w:r>
        <w:rPr>
          <w:rFonts w:ascii="Times New Roman"/>
        </w:rPr>
        <w:t xml:space="preserve">　</w:t>
      </w:r>
      <w:r>
        <w:rPr>
          <w:rFonts w:ascii="Times New Roman" w:hint="eastAsia"/>
          <w:b/>
          <w:bCs/>
        </w:rPr>
        <w:t>a</w:t>
      </w:r>
      <w:r>
        <w:rPr>
          <w:rFonts w:ascii="Times New Roman"/>
          <w:b/>
          <w:bCs/>
        </w:rPr>
        <w:t xml:space="preserve"> platform for connecting column</w:t>
      </w:r>
    </w:p>
    <w:p w14:paraId="38B59707" w14:textId="77777777" w:rsidR="008B0BD0" w:rsidRDefault="00000000">
      <w:pPr>
        <w:pStyle w:val="afffe"/>
      </w:pPr>
      <w:r>
        <w:rPr>
          <w:rFonts w:hint="eastAsia"/>
        </w:rPr>
        <w:t>专门用于预制芯柱安装施工，具有自动调整高程、平面定位、垂直度的立体装置。</w:t>
      </w:r>
    </w:p>
    <w:p w14:paraId="296FC01C" w14:textId="77777777" w:rsidR="008B0BD0" w:rsidRDefault="008B0BD0">
      <w:pPr>
        <w:pStyle w:val="a5"/>
        <w:outlineLvl w:val="9"/>
        <w:rPr>
          <w:rFonts w:ascii="Times New Roman"/>
        </w:rPr>
      </w:pPr>
      <w:bookmarkStart w:id="61" w:name="_Toc167100750"/>
      <w:bookmarkStart w:id="62" w:name="_Toc132710605"/>
      <w:bookmarkStart w:id="63" w:name="_Toc132710604"/>
      <w:bookmarkEnd w:id="61"/>
      <w:bookmarkEnd w:id="62"/>
      <w:bookmarkEnd w:id="63"/>
    </w:p>
    <w:p w14:paraId="3F29C079" w14:textId="77777777" w:rsidR="008B0BD0" w:rsidRDefault="00000000">
      <w:pPr>
        <w:pStyle w:val="a5"/>
        <w:numPr>
          <w:ilvl w:val="1"/>
          <w:numId w:val="0"/>
        </w:numPr>
        <w:spacing w:afterLines="0" w:after="0"/>
        <w:ind w:firstLineChars="200" w:firstLine="420"/>
        <w:outlineLvl w:val="9"/>
        <w:rPr>
          <w:rFonts w:ascii="Times New Roman"/>
        </w:rPr>
      </w:pPr>
      <w:r>
        <w:rPr>
          <w:rFonts w:ascii="Times New Roman" w:hint="eastAsia"/>
        </w:rPr>
        <w:t>柱顶连接器</w:t>
      </w:r>
      <w:r>
        <w:rPr>
          <w:rFonts w:ascii="Times New Roman"/>
        </w:rPr>
        <w:t xml:space="preserve">　</w:t>
      </w:r>
      <w:r>
        <w:rPr>
          <w:rFonts w:ascii="Times New Roman"/>
          <w:b/>
          <w:bCs/>
        </w:rPr>
        <w:t>connector at the top of the column</w:t>
      </w:r>
    </w:p>
    <w:p w14:paraId="3FC9B4AE" w14:textId="77777777" w:rsidR="008B0BD0" w:rsidRDefault="00000000">
      <w:pPr>
        <w:pStyle w:val="afffe"/>
        <w:rPr>
          <w:rFonts w:ascii="Times New Roman"/>
        </w:rPr>
      </w:pPr>
      <w:r>
        <w:rPr>
          <w:rFonts w:ascii="Times New Roman" w:hint="eastAsia"/>
        </w:rPr>
        <w:t>设置在芯柱柱顶、用于连</w:t>
      </w:r>
      <w:proofErr w:type="gramStart"/>
      <w:r>
        <w:rPr>
          <w:rFonts w:ascii="Times New Roman" w:hint="eastAsia"/>
        </w:rPr>
        <w:t>接送柱器的</w:t>
      </w:r>
      <w:proofErr w:type="gramEnd"/>
      <w:r>
        <w:rPr>
          <w:rFonts w:ascii="Times New Roman" w:hint="eastAsia"/>
        </w:rPr>
        <w:t>铸钢构件。</w:t>
      </w:r>
      <w:bookmarkStart w:id="64" w:name="_Toc132710606"/>
      <w:bookmarkEnd w:id="64"/>
    </w:p>
    <w:p w14:paraId="38253F11" w14:textId="77777777" w:rsidR="008B0BD0" w:rsidRDefault="00000000">
      <w:pPr>
        <w:pStyle w:val="a4"/>
      </w:pPr>
      <w:bookmarkStart w:id="65" w:name="_Toc129266228"/>
      <w:bookmarkStart w:id="66" w:name="_Toc167100751"/>
      <w:bookmarkStart w:id="67" w:name="_Toc193287379"/>
      <w:bookmarkEnd w:id="65"/>
      <w:r>
        <w:rPr>
          <w:rFonts w:hint="eastAsia"/>
        </w:rPr>
        <w:t>设计</w:t>
      </w:r>
      <w:bookmarkEnd w:id="66"/>
      <w:bookmarkEnd w:id="67"/>
    </w:p>
    <w:p w14:paraId="07F15070" w14:textId="77777777" w:rsidR="008B0BD0" w:rsidRDefault="00000000">
      <w:pPr>
        <w:pStyle w:val="affffffe"/>
      </w:pPr>
      <w:bookmarkStart w:id="68" w:name="_Toc167100752"/>
      <w:bookmarkStart w:id="69" w:name="_Toc193287380"/>
      <w:bookmarkStart w:id="70" w:name="_Toc129266232"/>
      <w:r>
        <w:rPr>
          <w:rFonts w:hint="eastAsia"/>
        </w:rPr>
        <w:t>通用要求</w:t>
      </w:r>
      <w:bookmarkEnd w:id="68"/>
      <w:bookmarkEnd w:id="69"/>
    </w:p>
    <w:p w14:paraId="4FA78352" w14:textId="77777777" w:rsidR="008B0BD0" w:rsidRDefault="00000000">
      <w:pPr>
        <w:pStyle w:val="a6"/>
      </w:pPr>
      <w:r>
        <w:rPr>
          <w:rFonts w:hint="eastAsia"/>
        </w:rPr>
        <w:t>芯柱应按支护阶段各设计工况进行设计，复合立柱应按使用阶段各设计工况进行设计。</w:t>
      </w:r>
    </w:p>
    <w:p w14:paraId="6865C830" w14:textId="77777777" w:rsidR="008B0BD0" w:rsidRDefault="00000000">
      <w:pPr>
        <w:pStyle w:val="a6"/>
      </w:pPr>
      <w:r>
        <w:rPr>
          <w:rFonts w:hint="eastAsia"/>
        </w:rPr>
        <w:t>复合立柱与相邻构件之间的结点连接、变形协调与防水构造应满足结构柱的设计要求，并应符合</w:t>
      </w:r>
      <w:r>
        <w:t>GB 50010的</w:t>
      </w:r>
      <w:r>
        <w:rPr>
          <w:rFonts w:hint="eastAsia"/>
        </w:rPr>
        <w:t>有关</w:t>
      </w:r>
      <w:r>
        <w:t>规定</w:t>
      </w:r>
      <w:r>
        <w:rPr>
          <w:rFonts w:hint="eastAsia"/>
        </w:rPr>
        <w:t>。</w:t>
      </w:r>
    </w:p>
    <w:p w14:paraId="23BDCCC1" w14:textId="77777777" w:rsidR="008B0BD0" w:rsidRDefault="00000000">
      <w:pPr>
        <w:pStyle w:val="a6"/>
      </w:pPr>
      <w:r>
        <w:rPr>
          <w:rFonts w:hint="eastAsia"/>
        </w:rPr>
        <w:t>预制芯柱用作支护结构计算时，应符合以下规定</w:t>
      </w:r>
      <w:bookmarkEnd w:id="70"/>
      <w:r>
        <w:rPr>
          <w:rFonts w:hint="eastAsia"/>
        </w:rPr>
        <w:t>：</w:t>
      </w:r>
    </w:p>
    <w:p w14:paraId="4364D07E" w14:textId="77777777" w:rsidR="008B0BD0" w:rsidRDefault="00000000">
      <w:pPr>
        <w:pStyle w:val="ac"/>
        <w:ind w:left="723"/>
      </w:pPr>
      <w:r>
        <w:rPr>
          <w:rFonts w:hint="eastAsia"/>
        </w:rPr>
        <w:t>荷载包括支护阶段芯柱支撑结构自重及其所承受的施工荷载，并按其安装的垂直</w:t>
      </w:r>
      <w:proofErr w:type="gramStart"/>
      <w:r>
        <w:rPr>
          <w:rFonts w:hint="eastAsia"/>
        </w:rPr>
        <w:t>度允许</w:t>
      </w:r>
      <w:proofErr w:type="gramEnd"/>
      <w:r>
        <w:rPr>
          <w:rFonts w:hint="eastAsia"/>
        </w:rPr>
        <w:t>偏差考虑竖向荷载偏心的影响；</w:t>
      </w:r>
    </w:p>
    <w:p w14:paraId="0D9F5D73" w14:textId="77777777" w:rsidR="008B0BD0" w:rsidRDefault="00000000">
      <w:pPr>
        <w:pStyle w:val="ac"/>
        <w:ind w:left="723"/>
      </w:pPr>
      <w:r>
        <w:rPr>
          <w:rFonts w:hint="eastAsia"/>
        </w:rPr>
        <w:t>在竖向荷载作用下，预制芯柱按偏心受压构件计算；</w:t>
      </w:r>
    </w:p>
    <w:p w14:paraId="35D0B8EE" w14:textId="77777777" w:rsidR="008B0BD0" w:rsidRDefault="00000000">
      <w:pPr>
        <w:pStyle w:val="ac"/>
        <w:ind w:left="723"/>
      </w:pPr>
      <w:r>
        <w:rPr>
          <w:rFonts w:hint="eastAsia"/>
        </w:rPr>
        <w:t>单层支撑的预制芯柱、多层支撑底层预制芯柱的受压计算长度取底层支撑至基坑底面的净高度与预制芯柱直径或边长的5倍之和；</w:t>
      </w:r>
    </w:p>
    <w:p w14:paraId="23534620" w14:textId="77777777" w:rsidR="008B0BD0" w:rsidRDefault="00000000">
      <w:pPr>
        <w:pStyle w:val="ac"/>
        <w:ind w:left="723"/>
      </w:pPr>
      <w:r>
        <w:rPr>
          <w:rFonts w:hint="eastAsia"/>
        </w:rPr>
        <w:t>相邻两层水平</w:t>
      </w:r>
      <w:proofErr w:type="gramStart"/>
      <w:r>
        <w:rPr>
          <w:rFonts w:hint="eastAsia"/>
        </w:rPr>
        <w:t>支撑间</w:t>
      </w:r>
      <w:proofErr w:type="gramEnd"/>
      <w:r>
        <w:rPr>
          <w:rFonts w:hint="eastAsia"/>
        </w:rPr>
        <w:t>的预制芯柱受压计算长度取此两层水平支撑的中心间距；</w:t>
      </w:r>
    </w:p>
    <w:p w14:paraId="4CB5EDED" w14:textId="77777777" w:rsidR="008B0BD0" w:rsidRDefault="00000000">
      <w:pPr>
        <w:pStyle w:val="ac"/>
        <w:ind w:left="723"/>
      </w:pPr>
      <w:r>
        <w:rPr>
          <w:rFonts w:hint="eastAsia"/>
        </w:rPr>
        <w:t>预制芯柱的</w:t>
      </w:r>
      <w:proofErr w:type="gramStart"/>
      <w:r>
        <w:rPr>
          <w:rFonts w:hint="eastAsia"/>
        </w:rPr>
        <w:t>配筋按柱在</w:t>
      </w:r>
      <w:proofErr w:type="gramEnd"/>
      <w:r>
        <w:rPr>
          <w:rFonts w:hint="eastAsia"/>
        </w:rPr>
        <w:t>水平起吊和旋转起吊过程中产生的最大内力进行计算，并满足构造和抗裂要求。</w:t>
      </w:r>
    </w:p>
    <w:p w14:paraId="7A756EB1" w14:textId="77777777" w:rsidR="008B0BD0" w:rsidRDefault="00000000">
      <w:pPr>
        <w:pStyle w:val="a6"/>
      </w:pPr>
      <w:r>
        <w:rPr>
          <w:rFonts w:hint="eastAsia"/>
        </w:rPr>
        <w:t>复合立柱应按照支护和使用两个阶段进行设计，并应符合GB 50010的有关规定。支护阶段芯柱应满足围护结构支撑等荷载需求；使用阶段复合立柱按照永久柱构件进行框架结构受力计算</w:t>
      </w:r>
      <w:r>
        <w:t>。</w:t>
      </w:r>
    </w:p>
    <w:p w14:paraId="06247517" w14:textId="77777777" w:rsidR="008B0BD0" w:rsidRDefault="00000000">
      <w:pPr>
        <w:pStyle w:val="affffffe"/>
      </w:pPr>
      <w:bookmarkStart w:id="71" w:name="_Toc193287381"/>
      <w:bookmarkStart w:id="72" w:name="_Toc167100753"/>
      <w:r>
        <w:rPr>
          <w:rFonts w:hint="eastAsia"/>
        </w:rPr>
        <w:t>构造要求</w:t>
      </w:r>
      <w:bookmarkEnd w:id="71"/>
      <w:bookmarkEnd w:id="72"/>
    </w:p>
    <w:p w14:paraId="3FAC9F57" w14:textId="77777777" w:rsidR="008B0BD0" w:rsidRDefault="00000000">
      <w:pPr>
        <w:pStyle w:val="a6"/>
      </w:pPr>
      <w:r>
        <w:rPr>
          <w:rFonts w:hint="eastAsia"/>
        </w:rPr>
        <w:t>预制芯柱截面为方形时，边长不宜小于</w:t>
      </w:r>
      <w:r>
        <w:t>400 mm</w:t>
      </w:r>
      <w:r>
        <w:rPr>
          <w:rFonts w:hint="eastAsia"/>
        </w:rPr>
        <w:t>；截面为圆形时，直径不宜小于</w:t>
      </w:r>
      <w:r>
        <w:t>500 mm</w:t>
      </w:r>
      <w:r>
        <w:rPr>
          <w:rFonts w:hint="eastAsia"/>
        </w:rPr>
        <w:t>；预制芯柱长细比不宜大于2</w:t>
      </w:r>
      <w:r>
        <w:t>5</w:t>
      </w:r>
      <w:r>
        <w:rPr>
          <w:rFonts w:hint="eastAsia"/>
        </w:rPr>
        <w:t>；</w:t>
      </w:r>
    </w:p>
    <w:p w14:paraId="5C6997FB" w14:textId="77777777" w:rsidR="008B0BD0" w:rsidRDefault="00000000">
      <w:pPr>
        <w:pStyle w:val="a6"/>
      </w:pPr>
      <w:r>
        <w:rPr>
          <w:rFonts w:hint="eastAsia"/>
        </w:rPr>
        <w:t>预制芯柱的截面型式应与结构梁板柱的截面相协调；预制芯柱与外包混凝土之间应采用预留锚筋形式；预制芯柱与结构梁板之间宜采用预留机械连接形式。预留锚</w:t>
      </w:r>
      <w:proofErr w:type="gramStart"/>
      <w:r>
        <w:rPr>
          <w:rFonts w:hint="eastAsia"/>
        </w:rPr>
        <w:t>筋采用</w:t>
      </w:r>
      <w:proofErr w:type="gramEnd"/>
      <w:r>
        <w:t>HPB300级钢筋，直径宜取</w:t>
      </w:r>
      <w:r>
        <w:lastRenderedPageBreak/>
        <w:t>6</w:t>
      </w:r>
      <w:r>
        <w:rPr>
          <w:rFonts w:hint="eastAsia"/>
        </w:rPr>
        <w:t xml:space="preserve"> </w:t>
      </w:r>
      <w:r>
        <w:t>mm～10</w:t>
      </w:r>
      <w:r>
        <w:rPr>
          <w:rFonts w:hint="eastAsia"/>
        </w:rPr>
        <w:t xml:space="preserve"> </w:t>
      </w:r>
      <w:r>
        <w:t>mm</w:t>
      </w:r>
      <w:r>
        <w:rPr>
          <w:rFonts w:hint="eastAsia"/>
        </w:rPr>
        <w:t>，竖向间距不应大于400 mm，水平间距不应大于300 mm且每侧不少于2根，与</w:t>
      </w:r>
      <w:r>
        <w:t>后浇</w:t>
      </w:r>
      <w:r>
        <w:rPr>
          <w:rFonts w:hint="eastAsia"/>
        </w:rPr>
        <w:t>混凝土的连接</w:t>
      </w:r>
      <w:r>
        <w:t>应满足</w:t>
      </w:r>
      <w:r>
        <w:rPr>
          <w:rFonts w:hint="eastAsia"/>
        </w:rPr>
        <w:t>GB 50367的要求</w:t>
      </w:r>
      <w:r>
        <w:t>。</w:t>
      </w:r>
    </w:p>
    <w:p w14:paraId="59F86E0B" w14:textId="77777777" w:rsidR="008B0BD0" w:rsidRDefault="00000000">
      <w:pPr>
        <w:pStyle w:val="a6"/>
      </w:pPr>
      <w:r>
        <w:rPr>
          <w:rFonts w:hint="eastAsia"/>
        </w:rPr>
        <w:t>芯柱与基础相交处的防水措施应按照GB 50108穿墙管的防水构造形式进行设计</w:t>
      </w:r>
      <w:r>
        <w:t>。</w:t>
      </w:r>
    </w:p>
    <w:p w14:paraId="2AA2917C" w14:textId="77777777" w:rsidR="008B0BD0" w:rsidRDefault="00000000">
      <w:pPr>
        <w:pStyle w:val="a6"/>
      </w:pPr>
      <w:r>
        <w:rPr>
          <w:rFonts w:hint="eastAsia"/>
        </w:rPr>
        <w:t>预制芯柱分节应根据贮存运输要求、吊装设备能力、现场作业条件、设计长度等因素综合确定，宜采用1个或</w:t>
      </w:r>
      <w:r>
        <w:t>2</w:t>
      </w:r>
      <w:r>
        <w:rPr>
          <w:rFonts w:hint="eastAsia"/>
        </w:rPr>
        <w:t>个接头。接头强度应满足设计要求，接头位置应避让弯矩和剪力集中区域。</w:t>
      </w:r>
    </w:p>
    <w:p w14:paraId="39B414B2" w14:textId="77777777" w:rsidR="008B0BD0" w:rsidRDefault="00000000">
      <w:pPr>
        <w:pStyle w:val="a6"/>
      </w:pPr>
      <w:bookmarkStart w:id="73" w:name="_Hlk132818589"/>
      <w:r>
        <w:rPr>
          <w:rFonts w:hint="eastAsia"/>
        </w:rPr>
        <w:t>预制芯柱外包混凝土层的厚度不宜小于10</w:t>
      </w:r>
      <w:r>
        <w:t>0 mm</w:t>
      </w:r>
      <w:bookmarkEnd w:id="73"/>
      <w:r>
        <w:t>，混凝土强度等级不应低于预制芯柱的强度</w:t>
      </w:r>
      <w:r>
        <w:rPr>
          <w:rFonts w:hint="eastAsia"/>
        </w:rPr>
        <w:t>，两者强度等级不应超过两个等级。</w:t>
      </w:r>
    </w:p>
    <w:p w14:paraId="4C8AB18D" w14:textId="77777777" w:rsidR="008B0BD0" w:rsidRDefault="00000000">
      <w:pPr>
        <w:pStyle w:val="a6"/>
      </w:pPr>
      <w:r>
        <w:rPr>
          <w:rFonts w:hint="eastAsia"/>
        </w:rPr>
        <w:t>预制芯柱锚入</w:t>
      </w:r>
      <w:proofErr w:type="gramStart"/>
      <w:r>
        <w:rPr>
          <w:rFonts w:hint="eastAsia"/>
        </w:rPr>
        <w:t>立柱桩内的</w:t>
      </w:r>
      <w:proofErr w:type="gramEnd"/>
      <w:r>
        <w:rPr>
          <w:rFonts w:hint="eastAsia"/>
        </w:rPr>
        <w:t>长度不宜小于预制芯柱长边或直径的4倍。</w:t>
      </w:r>
    </w:p>
    <w:p w14:paraId="7FCA5399" w14:textId="77777777" w:rsidR="008B0BD0" w:rsidRDefault="00000000">
      <w:pPr>
        <w:pStyle w:val="a6"/>
      </w:pPr>
      <w:r>
        <w:rPr>
          <w:rFonts w:hint="eastAsia"/>
        </w:rPr>
        <w:t>立柱桩嵌入底板或底纵梁内的长度对中等直径桩不宜小于5</w:t>
      </w:r>
      <w:r>
        <w:t>0 mm</w:t>
      </w:r>
      <w:r>
        <w:rPr>
          <w:rFonts w:hint="eastAsia"/>
        </w:rPr>
        <w:t>；对大直径桩不宜小于1</w:t>
      </w:r>
      <w:r>
        <w:t>00 mm</w:t>
      </w:r>
      <w:r>
        <w:rPr>
          <w:rFonts w:hint="eastAsia"/>
        </w:rPr>
        <w:t>。立柱桩桩顶纵向主筋锚入底板或底纵梁内长度不宜小于</w:t>
      </w:r>
      <w:r>
        <w:t>35 d</w:t>
      </w:r>
      <w:r>
        <w:rPr>
          <w:rFonts w:hint="eastAsia"/>
        </w:rPr>
        <w:t>；当立柱</w:t>
      </w:r>
      <w:proofErr w:type="gramStart"/>
      <w:r>
        <w:rPr>
          <w:rFonts w:hint="eastAsia"/>
        </w:rPr>
        <w:t>桩设计</w:t>
      </w:r>
      <w:proofErr w:type="gramEnd"/>
      <w:r>
        <w:rPr>
          <w:rFonts w:hint="eastAsia"/>
        </w:rPr>
        <w:t>有抗拔要求时，</w:t>
      </w:r>
      <w:proofErr w:type="gramStart"/>
      <w:r>
        <w:rPr>
          <w:rFonts w:hint="eastAsia"/>
        </w:rPr>
        <w:t>桩顶纵向</w:t>
      </w:r>
      <w:proofErr w:type="gramEnd"/>
      <w:r>
        <w:rPr>
          <w:rFonts w:hint="eastAsia"/>
        </w:rPr>
        <w:t>主筋的锚固长度应符合G</w:t>
      </w:r>
      <w:r>
        <w:t>B 50010</w:t>
      </w:r>
      <w:r>
        <w:rPr>
          <w:rFonts w:hint="eastAsia"/>
        </w:rPr>
        <w:t>的有关规定。</w:t>
      </w:r>
    </w:p>
    <w:p w14:paraId="0FF60B92" w14:textId="77777777" w:rsidR="008B0BD0" w:rsidRDefault="00000000">
      <w:pPr>
        <w:pStyle w:val="a4"/>
      </w:pPr>
      <w:bookmarkStart w:id="74" w:name="_Toc167100754"/>
      <w:bookmarkStart w:id="75" w:name="_Toc193287382"/>
      <w:r>
        <w:rPr>
          <w:rFonts w:hint="eastAsia"/>
        </w:rPr>
        <w:t>芯柱的制作、吊运和堆放</w:t>
      </w:r>
      <w:bookmarkEnd w:id="74"/>
      <w:bookmarkEnd w:id="75"/>
    </w:p>
    <w:p w14:paraId="6D26A499" w14:textId="77777777" w:rsidR="008B0BD0" w:rsidRDefault="00000000">
      <w:pPr>
        <w:pStyle w:val="affffffe"/>
      </w:pPr>
      <w:bookmarkStart w:id="76" w:name="_Toc193287383"/>
      <w:bookmarkStart w:id="77" w:name="_Toc167100755"/>
      <w:r>
        <w:rPr>
          <w:rFonts w:hint="eastAsia"/>
        </w:rPr>
        <w:t>制作</w:t>
      </w:r>
      <w:bookmarkEnd w:id="76"/>
      <w:bookmarkEnd w:id="77"/>
    </w:p>
    <w:p w14:paraId="7E856323" w14:textId="77777777" w:rsidR="008B0BD0" w:rsidRDefault="00000000">
      <w:pPr>
        <w:pStyle w:val="a6"/>
      </w:pPr>
      <w:r>
        <w:rPr>
          <w:rFonts w:hint="eastAsia"/>
        </w:rPr>
        <w:t>预制芯柱的原材料应符合</w:t>
      </w:r>
      <w:r>
        <w:t>GB 13476的有关规定</w:t>
      </w:r>
      <w:r>
        <w:rPr>
          <w:rFonts w:hint="eastAsia"/>
        </w:rPr>
        <w:t>。</w:t>
      </w:r>
    </w:p>
    <w:p w14:paraId="5E3922BC" w14:textId="77777777" w:rsidR="008B0BD0" w:rsidRDefault="00000000">
      <w:pPr>
        <w:pStyle w:val="a6"/>
      </w:pPr>
      <w:r>
        <w:rPr>
          <w:rFonts w:hint="eastAsia"/>
        </w:rPr>
        <w:t>预制芯柱的制作除应符合</w:t>
      </w:r>
      <w:r>
        <w:t>GB 50204和JGJ 94的有关规定外，还</w:t>
      </w:r>
      <w:r>
        <w:rPr>
          <w:rFonts w:hint="eastAsia"/>
        </w:rPr>
        <w:t>应</w:t>
      </w:r>
      <w:r>
        <w:t>符合下列规定</w:t>
      </w:r>
      <w:r>
        <w:rPr>
          <w:rFonts w:hint="eastAsia"/>
        </w:rPr>
        <w:t>：</w:t>
      </w:r>
    </w:p>
    <w:p w14:paraId="50F66B39" w14:textId="77777777" w:rsidR="008B0BD0" w:rsidRDefault="00000000">
      <w:pPr>
        <w:pStyle w:val="ac"/>
        <w:ind w:left="723"/>
      </w:pPr>
      <w:r>
        <w:rPr>
          <w:rFonts w:hint="eastAsia"/>
        </w:rPr>
        <w:t>模板采用钢模板，模板具有足够的刚度，并平整，尺寸准确；</w:t>
      </w:r>
    </w:p>
    <w:p w14:paraId="187C5D40" w14:textId="77777777" w:rsidR="008B0BD0" w:rsidRDefault="00000000">
      <w:pPr>
        <w:pStyle w:val="ac"/>
        <w:ind w:left="723"/>
      </w:pPr>
      <w:r>
        <w:rPr>
          <w:rFonts w:hint="eastAsia"/>
        </w:rPr>
        <w:t>钢筋</w:t>
      </w:r>
      <w:proofErr w:type="gramStart"/>
      <w:r>
        <w:rPr>
          <w:rFonts w:hint="eastAsia"/>
        </w:rPr>
        <w:t>笼</w:t>
      </w:r>
      <w:proofErr w:type="gramEnd"/>
      <w:r>
        <w:rPr>
          <w:rFonts w:hint="eastAsia"/>
        </w:rPr>
        <w:t>整体制作；</w:t>
      </w:r>
    </w:p>
    <w:p w14:paraId="7612172B" w14:textId="77777777" w:rsidR="008B0BD0" w:rsidRDefault="00000000">
      <w:pPr>
        <w:pStyle w:val="ac"/>
        <w:ind w:left="723"/>
      </w:pPr>
      <w:r>
        <w:rPr>
          <w:rFonts w:hint="eastAsia"/>
        </w:rPr>
        <w:t>芯柱主筋不与顶端预埋钢板焊接；</w:t>
      </w:r>
    </w:p>
    <w:p w14:paraId="2F0FD24B" w14:textId="77777777" w:rsidR="008B0BD0" w:rsidRDefault="00000000">
      <w:pPr>
        <w:pStyle w:val="ac"/>
        <w:ind w:left="723"/>
      </w:pPr>
      <w:r>
        <w:rPr>
          <w:rFonts w:hint="eastAsia"/>
        </w:rPr>
        <w:t>芯柱接头采用定制加工构件，其设计、生产及防腐符合</w:t>
      </w:r>
      <w:r>
        <w:t>GB 55006和JGJ/T 395等的规定；</w:t>
      </w:r>
    </w:p>
    <w:p w14:paraId="0D0362E3" w14:textId="77777777" w:rsidR="008B0BD0" w:rsidRDefault="00000000">
      <w:pPr>
        <w:pStyle w:val="a6"/>
      </w:pPr>
      <w:r>
        <w:rPr>
          <w:rFonts w:hint="eastAsia"/>
        </w:rPr>
        <w:t>预制芯柱应采用工厂化预制，单节长度不宜超过1</w:t>
      </w:r>
      <w:r>
        <w:t>5 m</w:t>
      </w:r>
      <w:r>
        <w:rPr>
          <w:rFonts w:hint="eastAsia"/>
        </w:rPr>
        <w:t>；当存在接头时，接头应设置在芯柱受偏压后内力较小的截面位置，且不同芯柱的接头不应在同一水平高程。</w:t>
      </w:r>
    </w:p>
    <w:p w14:paraId="55F5578F" w14:textId="77777777" w:rsidR="008B0BD0" w:rsidRDefault="00000000">
      <w:pPr>
        <w:pStyle w:val="a6"/>
      </w:pPr>
      <w:r>
        <w:t>模板应采用钢模板，模板应具有足够的刚度，并应平整，尺寸准确</w:t>
      </w:r>
      <w:r>
        <w:rPr>
          <w:rFonts w:hint="eastAsia"/>
        </w:rPr>
        <w:t>。</w:t>
      </w:r>
    </w:p>
    <w:p w14:paraId="402CF286" w14:textId="77777777" w:rsidR="008B0BD0" w:rsidRDefault="00000000">
      <w:pPr>
        <w:pStyle w:val="a6"/>
      </w:pPr>
      <w:r>
        <w:rPr>
          <w:rFonts w:hint="eastAsia"/>
        </w:rPr>
        <w:t>柱身混凝土应一次性连续浇筑密实。</w:t>
      </w:r>
    </w:p>
    <w:p w14:paraId="1760D5E6" w14:textId="77777777" w:rsidR="008B0BD0" w:rsidRDefault="00000000">
      <w:pPr>
        <w:pStyle w:val="affffffe"/>
      </w:pPr>
      <w:bookmarkStart w:id="78" w:name="_Toc167100756"/>
      <w:bookmarkStart w:id="79" w:name="_Toc193287384"/>
      <w:r>
        <w:rPr>
          <w:rFonts w:hint="eastAsia"/>
        </w:rPr>
        <w:t>吊运和堆放</w:t>
      </w:r>
      <w:bookmarkEnd w:id="78"/>
      <w:bookmarkEnd w:id="79"/>
    </w:p>
    <w:p w14:paraId="78FA9C83" w14:textId="77777777" w:rsidR="008B0BD0" w:rsidRDefault="00000000">
      <w:pPr>
        <w:pStyle w:val="a6"/>
      </w:pPr>
      <w:r>
        <w:t>预制</w:t>
      </w:r>
      <w:r>
        <w:rPr>
          <w:rFonts w:hint="eastAsia"/>
        </w:rPr>
        <w:t>芯柱的吊点</w:t>
      </w:r>
      <w:proofErr w:type="gramStart"/>
      <w:r>
        <w:rPr>
          <w:rFonts w:hint="eastAsia"/>
        </w:rPr>
        <w:t>应按跨间</w:t>
      </w:r>
      <w:proofErr w:type="gramEnd"/>
      <w:r>
        <w:rPr>
          <w:rFonts w:hint="eastAsia"/>
        </w:rPr>
        <w:t>正弯矩与吊点处的负弯矩相等的原则进行布置</w:t>
      </w:r>
      <w:r>
        <w:t>。</w:t>
      </w:r>
    </w:p>
    <w:p w14:paraId="41534420" w14:textId="77777777" w:rsidR="008B0BD0" w:rsidRDefault="00000000">
      <w:pPr>
        <w:pStyle w:val="a6"/>
      </w:pPr>
      <w:r>
        <w:t>预制</w:t>
      </w:r>
      <w:r>
        <w:rPr>
          <w:rFonts w:hint="eastAsia"/>
        </w:rPr>
        <w:t>芯柱</w:t>
      </w:r>
      <w:r>
        <w:t>的吊运应符合下列规定：</w:t>
      </w:r>
    </w:p>
    <w:p w14:paraId="32696741" w14:textId="77777777" w:rsidR="008B0BD0" w:rsidRDefault="00000000">
      <w:pPr>
        <w:pStyle w:val="ac"/>
        <w:ind w:left="723"/>
      </w:pPr>
      <w:r>
        <w:rPr>
          <w:rFonts w:hint="eastAsia"/>
        </w:rPr>
        <w:t>厂内柱身强度达到设计强度的</w:t>
      </w:r>
      <w:r>
        <w:t>70%</w:t>
      </w:r>
      <w:r>
        <w:rPr>
          <w:rFonts w:hint="eastAsia"/>
        </w:rPr>
        <w:t>后</w:t>
      </w:r>
      <w:r>
        <w:t>起吊，达到100%</w:t>
      </w:r>
      <w:proofErr w:type="gramStart"/>
      <w:r>
        <w:rPr>
          <w:rFonts w:hint="eastAsia"/>
        </w:rPr>
        <w:t>后</w:t>
      </w:r>
      <w:r>
        <w:t>运输至施工</w:t>
      </w:r>
      <w:proofErr w:type="gramEnd"/>
      <w:r>
        <w:t>现场；</w:t>
      </w:r>
    </w:p>
    <w:p w14:paraId="10AAE41C" w14:textId="77777777" w:rsidR="008B0BD0" w:rsidRDefault="00000000">
      <w:pPr>
        <w:pStyle w:val="ac"/>
        <w:ind w:left="723"/>
      </w:pPr>
      <w:r>
        <w:rPr>
          <w:rFonts w:hint="eastAsia"/>
        </w:rPr>
        <w:t>起吊时采取相应措施，安全平稳，保护桩身质量。</w:t>
      </w:r>
    </w:p>
    <w:p w14:paraId="06FDC231" w14:textId="77777777" w:rsidR="008B0BD0" w:rsidRDefault="00000000">
      <w:pPr>
        <w:pStyle w:val="ac"/>
        <w:ind w:left="723"/>
      </w:pPr>
      <w:r>
        <w:rPr>
          <w:rFonts w:hint="eastAsia"/>
        </w:rPr>
        <w:t>水平运输时，做到桩身平稳放置，不在场地上直接拖拉桩体；</w:t>
      </w:r>
    </w:p>
    <w:p w14:paraId="500F983C" w14:textId="77777777" w:rsidR="008B0BD0" w:rsidRDefault="00000000">
      <w:pPr>
        <w:pStyle w:val="ac"/>
        <w:ind w:left="723"/>
      </w:pPr>
      <w:r>
        <w:rPr>
          <w:rFonts w:hint="eastAsia"/>
        </w:rPr>
        <w:t>当采用工厂预制时，做出厂前检查，其规格、批号、制作日期符合所属的验收批号内容。</w:t>
      </w:r>
    </w:p>
    <w:p w14:paraId="015005C0" w14:textId="77777777" w:rsidR="008B0BD0" w:rsidRDefault="00000000">
      <w:pPr>
        <w:pStyle w:val="a6"/>
      </w:pPr>
      <w:r>
        <w:t>预制芯柱的堆放</w:t>
      </w:r>
      <w:r>
        <w:rPr>
          <w:rFonts w:hint="eastAsia"/>
        </w:rPr>
        <w:t>应</w:t>
      </w:r>
      <w:r>
        <w:t>符合下列规定：</w:t>
      </w:r>
    </w:p>
    <w:p w14:paraId="75F942F4" w14:textId="77777777" w:rsidR="008B0BD0" w:rsidRDefault="00000000">
      <w:pPr>
        <w:pStyle w:val="ac"/>
        <w:ind w:left="723"/>
      </w:pPr>
      <w:r>
        <w:rPr>
          <w:rFonts w:hint="eastAsia"/>
        </w:rPr>
        <w:t>芯柱的堆放场地平整、坚实、稳固；</w:t>
      </w:r>
    </w:p>
    <w:p w14:paraId="768A9149" w14:textId="77777777" w:rsidR="008B0BD0" w:rsidRDefault="00000000">
      <w:pPr>
        <w:pStyle w:val="ac"/>
        <w:ind w:left="723"/>
      </w:pPr>
      <w:r>
        <w:rPr>
          <w:rFonts w:hint="eastAsia"/>
        </w:rPr>
        <w:t>按不同规格、长度、分节及施工流水顺序分别堆放，同桩号</w:t>
      </w:r>
      <w:proofErr w:type="gramStart"/>
      <w:r>
        <w:rPr>
          <w:rFonts w:hint="eastAsia"/>
        </w:rPr>
        <w:t>的桩应集中</w:t>
      </w:r>
      <w:proofErr w:type="gramEnd"/>
      <w:r>
        <w:rPr>
          <w:rFonts w:hint="eastAsia"/>
        </w:rPr>
        <w:t>堆放，桩尖同向一端；</w:t>
      </w:r>
    </w:p>
    <w:p w14:paraId="3CF492A2" w14:textId="77777777" w:rsidR="008B0BD0" w:rsidRDefault="00000000">
      <w:pPr>
        <w:pStyle w:val="ac"/>
        <w:ind w:left="723"/>
      </w:pPr>
      <w:r>
        <w:rPr>
          <w:rFonts w:hint="eastAsia"/>
        </w:rPr>
        <w:t>预制芯柱单层堆放，若场地条件受限，可叠层堆放，但堆放层数不超过2层；</w:t>
      </w:r>
    </w:p>
    <w:p w14:paraId="0DAA2719" w14:textId="77777777" w:rsidR="008B0BD0" w:rsidRDefault="00000000">
      <w:pPr>
        <w:pStyle w:val="ac"/>
        <w:ind w:left="723"/>
      </w:pPr>
      <w:r>
        <w:rPr>
          <w:rFonts w:hint="eastAsia"/>
        </w:rPr>
        <w:t>芯柱</w:t>
      </w:r>
      <w:proofErr w:type="gramStart"/>
      <w:r>
        <w:rPr>
          <w:rFonts w:hint="eastAsia"/>
        </w:rPr>
        <w:t>下部垫木分层</w:t>
      </w:r>
      <w:proofErr w:type="gramEnd"/>
      <w:r>
        <w:rPr>
          <w:rFonts w:hint="eastAsia"/>
        </w:rPr>
        <w:t>放置，</w:t>
      </w:r>
      <w:proofErr w:type="gramStart"/>
      <w:r>
        <w:rPr>
          <w:rFonts w:hint="eastAsia"/>
        </w:rPr>
        <w:t>垫木选用</w:t>
      </w:r>
      <w:proofErr w:type="gramEnd"/>
      <w:r>
        <w:rPr>
          <w:rFonts w:hint="eastAsia"/>
        </w:rPr>
        <w:t>耐压的长木</w:t>
      </w:r>
      <w:proofErr w:type="gramStart"/>
      <w:r>
        <w:rPr>
          <w:rFonts w:hint="eastAsia"/>
        </w:rPr>
        <w:t>枋</w:t>
      </w:r>
      <w:proofErr w:type="gramEnd"/>
      <w:r>
        <w:rPr>
          <w:rFonts w:hint="eastAsia"/>
        </w:rPr>
        <w:t>或枕木。</w:t>
      </w:r>
    </w:p>
    <w:p w14:paraId="53AAA02E" w14:textId="77777777" w:rsidR="008B0BD0" w:rsidRDefault="00000000">
      <w:pPr>
        <w:pStyle w:val="a4"/>
      </w:pPr>
      <w:bookmarkStart w:id="80" w:name="_Toc167100757"/>
      <w:bookmarkStart w:id="81" w:name="_Toc193287385"/>
      <w:r>
        <w:rPr>
          <w:rFonts w:hint="eastAsia"/>
        </w:rPr>
        <w:t>施工</w:t>
      </w:r>
      <w:bookmarkEnd w:id="80"/>
      <w:bookmarkEnd w:id="81"/>
    </w:p>
    <w:p w14:paraId="53CFE418" w14:textId="77777777" w:rsidR="008B0BD0" w:rsidRDefault="00000000">
      <w:pPr>
        <w:pStyle w:val="affffffe"/>
      </w:pPr>
      <w:bookmarkStart w:id="82" w:name="_Toc193287386"/>
      <w:bookmarkStart w:id="83" w:name="_Toc129266230"/>
      <w:bookmarkStart w:id="84" w:name="_Toc103162776"/>
      <w:r>
        <w:rPr>
          <w:rFonts w:hint="eastAsia"/>
        </w:rPr>
        <w:t>通则</w:t>
      </w:r>
      <w:bookmarkEnd w:id="82"/>
    </w:p>
    <w:p w14:paraId="696E4F52" w14:textId="77777777" w:rsidR="008B0BD0" w:rsidRDefault="00000000">
      <w:pPr>
        <w:pStyle w:val="a6"/>
      </w:pPr>
      <w:r>
        <w:rPr>
          <w:rFonts w:hint="eastAsia"/>
        </w:rPr>
        <w:t>复合立柱</w:t>
      </w:r>
      <w:proofErr w:type="gramStart"/>
      <w:r>
        <w:rPr>
          <w:rFonts w:hint="eastAsia"/>
        </w:rPr>
        <w:t>宜按照</w:t>
      </w:r>
      <w:proofErr w:type="gramEnd"/>
      <w:r>
        <w:rPr>
          <w:rFonts w:hint="eastAsia"/>
        </w:rPr>
        <w:t>芯柱及立柱桩施工、基坑开挖、复合3个阶段进行施工。</w:t>
      </w:r>
    </w:p>
    <w:p w14:paraId="47E5FE7D" w14:textId="77777777" w:rsidR="008B0BD0" w:rsidRDefault="00000000">
      <w:pPr>
        <w:pStyle w:val="a6"/>
      </w:pPr>
      <w:r>
        <w:rPr>
          <w:rFonts w:hint="eastAsia"/>
        </w:rPr>
        <w:t>场地布置应根据预制芯柱平面尺寸和存放要求、钻机作业及移位要求等综合确定。</w:t>
      </w:r>
    </w:p>
    <w:p w14:paraId="5D60EB5B" w14:textId="77777777" w:rsidR="008B0BD0" w:rsidRDefault="00000000">
      <w:pPr>
        <w:pStyle w:val="affffffe"/>
      </w:pPr>
      <w:bookmarkStart w:id="85" w:name="_Toc193287387"/>
      <w:bookmarkStart w:id="86" w:name="_Toc167100759"/>
      <w:bookmarkEnd w:id="83"/>
      <w:r>
        <w:rPr>
          <w:rFonts w:hint="eastAsia"/>
        </w:rPr>
        <w:t>芯柱施工</w:t>
      </w:r>
      <w:bookmarkEnd w:id="85"/>
      <w:bookmarkEnd w:id="86"/>
    </w:p>
    <w:p w14:paraId="6A31FC1D" w14:textId="77777777" w:rsidR="008B0BD0" w:rsidRDefault="00000000">
      <w:pPr>
        <w:pStyle w:val="a6"/>
      </w:pPr>
      <w:bookmarkStart w:id="87" w:name="_Toc103162777"/>
      <w:bookmarkEnd w:id="84"/>
      <w:r>
        <w:rPr>
          <w:rFonts w:hint="eastAsia"/>
        </w:rPr>
        <w:t>钻孔机具及工艺的选择，应根据立柱桩桩型、钻孔深度、土层情况、泥浆排放及处理条件综合确定，不同桩型的施工工艺要求应符合J</w:t>
      </w:r>
      <w:r>
        <w:t>GJ 94</w:t>
      </w:r>
      <w:r>
        <w:rPr>
          <w:rFonts w:hint="eastAsia"/>
        </w:rPr>
        <w:t>的有关规定。</w:t>
      </w:r>
    </w:p>
    <w:p w14:paraId="1AA1E09E" w14:textId="77777777" w:rsidR="008B0BD0" w:rsidRDefault="00000000">
      <w:pPr>
        <w:pStyle w:val="a6"/>
      </w:pPr>
      <w:r>
        <w:rPr>
          <w:rFonts w:hint="eastAsia"/>
        </w:rPr>
        <w:lastRenderedPageBreak/>
        <w:t>当采用</w:t>
      </w:r>
      <w:proofErr w:type="gramStart"/>
      <w:r>
        <w:rPr>
          <w:rFonts w:hint="eastAsia"/>
        </w:rPr>
        <w:t>送柱器</w:t>
      </w:r>
      <w:proofErr w:type="gramEnd"/>
      <w:r>
        <w:rPr>
          <w:rFonts w:hint="eastAsia"/>
        </w:rPr>
        <w:t>将预制芯柱送到地面以下设计标高时，导向装置宜选用接柱平台；当</w:t>
      </w:r>
      <w:proofErr w:type="gramStart"/>
      <w:r>
        <w:rPr>
          <w:rFonts w:hint="eastAsia"/>
        </w:rPr>
        <w:t>采用截柱工艺</w:t>
      </w:r>
      <w:proofErr w:type="gramEnd"/>
      <w:r>
        <w:rPr>
          <w:rFonts w:hint="eastAsia"/>
        </w:rPr>
        <w:t>时，导向装置宜选择导向支架（如图2）。</w:t>
      </w:r>
    </w:p>
    <w:p w14:paraId="4F32DF72" w14:textId="77777777" w:rsidR="008B0BD0" w:rsidRDefault="00000000">
      <w:pPr>
        <w:pStyle w:val="afffe"/>
        <w:ind w:firstLineChars="0" w:firstLine="0"/>
        <w:jc w:val="center"/>
        <w:rPr>
          <w:rFonts w:ascii="Times New Roman"/>
        </w:rPr>
      </w:pPr>
      <w:r>
        <w:rPr>
          <w:noProof/>
        </w:rPr>
        <w:drawing>
          <wp:inline distT="0" distB="0" distL="114300" distR="114300" wp14:anchorId="481515D5" wp14:editId="6BF35DF9">
            <wp:extent cx="1476375" cy="1543050"/>
            <wp:effectExtent l="0" t="0" r="952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a:stretch>
                      <a:fillRect/>
                    </a:stretch>
                  </pic:blipFill>
                  <pic:spPr>
                    <a:xfrm>
                      <a:off x="0" y="0"/>
                      <a:ext cx="1476375" cy="1543050"/>
                    </a:xfrm>
                    <a:prstGeom prst="rect">
                      <a:avLst/>
                    </a:prstGeom>
                    <a:noFill/>
                    <a:ln>
                      <a:noFill/>
                    </a:ln>
                  </pic:spPr>
                </pic:pic>
              </a:graphicData>
            </a:graphic>
          </wp:inline>
        </w:drawing>
      </w:r>
    </w:p>
    <w:p w14:paraId="6DB2EE48" w14:textId="77777777" w:rsidR="008B0BD0" w:rsidRDefault="00000000">
      <w:pPr>
        <w:pStyle w:val="afffe"/>
        <w:ind w:firstLine="360"/>
        <w:jc w:val="left"/>
        <w:rPr>
          <w:sz w:val="18"/>
          <w:szCs w:val="18"/>
        </w:rPr>
      </w:pPr>
      <w:r>
        <w:rPr>
          <w:rFonts w:hint="eastAsia"/>
          <w:sz w:val="18"/>
          <w:szCs w:val="18"/>
        </w:rPr>
        <w:t>标引序号说明：</w:t>
      </w:r>
    </w:p>
    <w:p w14:paraId="046C2025" w14:textId="77777777" w:rsidR="008B0BD0" w:rsidRDefault="00000000">
      <w:pPr>
        <w:pStyle w:val="afffe"/>
        <w:ind w:firstLine="360"/>
        <w:rPr>
          <w:sz w:val="18"/>
          <w:szCs w:val="18"/>
        </w:rPr>
      </w:pPr>
      <w:r>
        <w:rPr>
          <w:rFonts w:hint="eastAsia"/>
          <w:sz w:val="18"/>
          <w:szCs w:val="18"/>
        </w:rPr>
        <w:t>1——型钢；</w:t>
      </w:r>
    </w:p>
    <w:p w14:paraId="4319D2C7" w14:textId="77777777" w:rsidR="008B0BD0" w:rsidRDefault="00000000">
      <w:pPr>
        <w:pStyle w:val="afffe"/>
        <w:ind w:firstLine="360"/>
        <w:rPr>
          <w:sz w:val="18"/>
          <w:szCs w:val="18"/>
        </w:rPr>
      </w:pPr>
      <w:r>
        <w:rPr>
          <w:rFonts w:hint="eastAsia"/>
          <w:sz w:val="18"/>
          <w:szCs w:val="18"/>
        </w:rPr>
        <w:t>2——定位螺栓。</w:t>
      </w:r>
    </w:p>
    <w:p w14:paraId="50B803FE" w14:textId="77777777" w:rsidR="008B0BD0" w:rsidRDefault="00000000">
      <w:pPr>
        <w:pStyle w:val="af4"/>
        <w:rPr>
          <w:sz w:val="18"/>
          <w:szCs w:val="18"/>
        </w:rPr>
      </w:pPr>
      <w:r>
        <w:rPr>
          <w:rFonts w:hint="eastAsia"/>
        </w:rPr>
        <w:t>导向支架示意图</w:t>
      </w:r>
    </w:p>
    <w:p w14:paraId="3E7E1019" w14:textId="77777777" w:rsidR="008B0BD0" w:rsidRDefault="00000000">
      <w:pPr>
        <w:pStyle w:val="a6"/>
      </w:pPr>
      <w:r>
        <w:rPr>
          <w:rFonts w:hint="eastAsia"/>
        </w:rPr>
        <w:t>成孔设备就位前，在既有地面施工定位平台（如图3</w:t>
      </w:r>
      <w:r>
        <w:rPr>
          <w:rFonts w:hint="eastAsia"/>
        </w:rPr>
        <w:t>、图4</w:t>
      </w:r>
      <w:r>
        <w:rPr>
          <w:rFonts w:hint="eastAsia"/>
        </w:rPr>
        <w:t>），定位平台的设置应符合下列规定：</w:t>
      </w:r>
    </w:p>
    <w:p w14:paraId="053C6D59" w14:textId="77777777" w:rsidR="008B0BD0" w:rsidRDefault="00000000">
      <w:pPr>
        <w:pStyle w:val="ac"/>
        <w:ind w:left="723"/>
      </w:pPr>
      <w:r>
        <w:rPr>
          <w:rFonts w:hint="eastAsia"/>
        </w:rPr>
        <w:t xml:space="preserve">控制定位平台尺寸，平台外轮廓不侵占成孔设备支腿空间，平台宽度取3 </w:t>
      </w:r>
      <w:r>
        <w:t>m</w:t>
      </w:r>
      <w:bookmarkStart w:id="88" w:name="OLE_LINK2"/>
      <w:r>
        <w:rPr>
          <w:rFonts w:hint="eastAsia"/>
        </w:rPr>
        <w:t>～</w:t>
      </w:r>
      <w:bookmarkEnd w:id="88"/>
      <w:r>
        <w:t>4 m</w:t>
      </w:r>
      <w:r>
        <w:rPr>
          <w:rFonts w:hint="eastAsia"/>
        </w:rPr>
        <w:t>，平台厚度取0</w:t>
      </w:r>
      <w:r>
        <w:t>.3</w:t>
      </w:r>
      <w:r>
        <w:rPr>
          <w:rFonts w:hint="eastAsia"/>
        </w:rPr>
        <w:t xml:space="preserve"> </w:t>
      </w:r>
      <w:r>
        <w:t>m</w:t>
      </w:r>
      <w:r>
        <w:rPr>
          <w:rFonts w:hint="eastAsia"/>
        </w:rPr>
        <w:t>～</w:t>
      </w:r>
      <w:r>
        <w:t>0.5</w:t>
      </w:r>
      <w:r>
        <w:rPr>
          <w:rFonts w:hint="eastAsia"/>
        </w:rPr>
        <w:t xml:space="preserve"> </w:t>
      </w:r>
      <w:r>
        <w:t>m</w:t>
      </w:r>
      <w:r>
        <w:rPr>
          <w:rFonts w:hint="eastAsia"/>
        </w:rPr>
        <w:t>，中心预留孔直径比成孔直径大1</w:t>
      </w:r>
      <w:r>
        <w:t>00 mm</w:t>
      </w:r>
      <w:r>
        <w:rPr>
          <w:rFonts w:hint="eastAsia"/>
        </w:rPr>
        <w:t>；</w:t>
      </w:r>
    </w:p>
    <w:p w14:paraId="7A3B8FC6" w14:textId="77777777" w:rsidR="008B0BD0" w:rsidRDefault="00000000">
      <w:pPr>
        <w:pStyle w:val="ac"/>
        <w:ind w:left="723"/>
      </w:pPr>
      <w:r>
        <w:rPr>
          <w:rFonts w:hint="eastAsia"/>
        </w:rPr>
        <w:t>精确控制定位平台位置和顶面标高，中心预留孔中心与桩位偏差不大于1</w:t>
      </w:r>
      <w:r>
        <w:t>0 mm</w:t>
      </w:r>
      <w:r>
        <w:rPr>
          <w:rFonts w:hint="eastAsia"/>
        </w:rPr>
        <w:t>，顶面标高允许偏差不大于</w:t>
      </w:r>
      <w:r>
        <w:t>20 mm</w:t>
      </w:r>
      <w:r>
        <w:rPr>
          <w:rFonts w:hint="eastAsia"/>
        </w:rPr>
        <w:t>，顶面平整度不大于5</w:t>
      </w:r>
      <w:r>
        <w:t xml:space="preserve"> mm</w:t>
      </w:r>
      <w:r>
        <w:rPr>
          <w:rFonts w:hint="eastAsia"/>
        </w:rPr>
        <w:t>；</w:t>
      </w:r>
    </w:p>
    <w:p w14:paraId="5A0791B8" w14:textId="77777777" w:rsidR="008B0BD0" w:rsidRDefault="00000000">
      <w:pPr>
        <w:pStyle w:val="ac"/>
        <w:ind w:left="723"/>
      </w:pPr>
      <w:r>
        <w:rPr>
          <w:rFonts w:hint="eastAsia"/>
        </w:rPr>
        <w:t>当地面存在</w:t>
      </w:r>
      <w:proofErr w:type="gramStart"/>
      <w:r>
        <w:rPr>
          <w:rFonts w:hint="eastAsia"/>
        </w:rPr>
        <w:t>软弱土</w:t>
      </w:r>
      <w:proofErr w:type="gramEnd"/>
      <w:r>
        <w:rPr>
          <w:rFonts w:hint="eastAsia"/>
        </w:rPr>
        <w:t>时，将软弱土层挖除，定位平台下部地基承载力不小于</w:t>
      </w:r>
      <w:r>
        <w:t>80 k</w:t>
      </w:r>
      <w:r>
        <w:rPr>
          <w:rFonts w:hint="eastAsia"/>
        </w:rPr>
        <w:t>P</w:t>
      </w:r>
      <w:r>
        <w:t>a</w:t>
      </w:r>
      <w:r>
        <w:rPr>
          <w:rFonts w:hint="eastAsia"/>
        </w:rPr>
        <w:t>。</w:t>
      </w:r>
    </w:p>
    <w:p w14:paraId="6F6E242C" w14:textId="77777777" w:rsidR="008B0BD0" w:rsidRDefault="00000000">
      <w:pPr>
        <w:pStyle w:val="afffe"/>
        <w:ind w:firstLineChars="0" w:firstLine="0"/>
        <w:jc w:val="center"/>
      </w:pPr>
      <w:r>
        <w:rPr>
          <w:noProof/>
        </w:rPr>
        <w:drawing>
          <wp:inline distT="0" distB="0" distL="0" distR="0" wp14:anchorId="7269123D" wp14:editId="43EDA6DF">
            <wp:extent cx="1936750" cy="1250950"/>
            <wp:effectExtent l="0" t="0" r="0" b="0"/>
            <wp:docPr id="19083984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398482" name="图片 2"/>
                    <pic:cNvPicPr>
                      <a:picLocks noChangeAspect="1" noChangeArrowheads="1"/>
                    </pic:cNvPicPr>
                  </pic:nvPicPr>
                  <pic:blipFill>
                    <a:blip r:embed="rId16">
                      <a:extLst>
                        <a:ext uri="{28A0092B-C50C-407E-A947-70E740481C1C}">
                          <a14:useLocalDpi xmlns:a14="http://schemas.microsoft.com/office/drawing/2010/main" val="0"/>
                        </a:ext>
                      </a:extLst>
                    </a:blip>
                    <a:srcRect b="30487"/>
                    <a:stretch>
                      <a:fillRect/>
                    </a:stretch>
                  </pic:blipFill>
                  <pic:spPr>
                    <a:xfrm>
                      <a:off x="0" y="0"/>
                      <a:ext cx="1936800" cy="1250950"/>
                    </a:xfrm>
                    <a:prstGeom prst="rect">
                      <a:avLst/>
                    </a:prstGeom>
                    <a:noFill/>
                    <a:ln>
                      <a:noFill/>
                    </a:ln>
                  </pic:spPr>
                </pic:pic>
              </a:graphicData>
            </a:graphic>
          </wp:inline>
        </w:drawing>
      </w:r>
    </w:p>
    <w:p w14:paraId="6F6E8E23" w14:textId="77777777" w:rsidR="008B0BD0" w:rsidRDefault="00000000">
      <w:pPr>
        <w:pStyle w:val="af4"/>
      </w:pPr>
      <w:r>
        <w:rPr>
          <w:rFonts w:hint="eastAsia"/>
        </w:rPr>
        <w:t>定位平台平面示意图</w:t>
      </w:r>
    </w:p>
    <w:p w14:paraId="7F4FD31E" w14:textId="77777777" w:rsidR="008B0BD0" w:rsidRDefault="00000000">
      <w:pPr>
        <w:pStyle w:val="afffe"/>
        <w:jc w:val="center"/>
      </w:pPr>
      <w:r>
        <w:rPr>
          <w:noProof/>
        </w:rPr>
        <w:drawing>
          <wp:inline distT="0" distB="0" distL="0" distR="0" wp14:anchorId="0F278478" wp14:editId="7A119FB2">
            <wp:extent cx="1936750" cy="288290"/>
            <wp:effectExtent l="0" t="0" r="6350" b="1651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16">
                      <a:extLst>
                        <a:ext uri="{28A0092B-C50C-407E-A947-70E740481C1C}">
                          <a14:useLocalDpi xmlns:a14="http://schemas.microsoft.com/office/drawing/2010/main" val="0"/>
                        </a:ext>
                      </a:extLst>
                    </a:blip>
                    <a:srcRect t="83980"/>
                    <a:stretch>
                      <a:fillRect/>
                    </a:stretch>
                  </pic:blipFill>
                  <pic:spPr>
                    <a:xfrm>
                      <a:off x="0" y="0"/>
                      <a:ext cx="1936800" cy="288290"/>
                    </a:xfrm>
                    <a:prstGeom prst="rect">
                      <a:avLst/>
                    </a:prstGeom>
                    <a:noFill/>
                    <a:ln>
                      <a:noFill/>
                    </a:ln>
                  </pic:spPr>
                </pic:pic>
              </a:graphicData>
            </a:graphic>
          </wp:inline>
        </w:drawing>
      </w:r>
    </w:p>
    <w:p w14:paraId="34631039" w14:textId="77777777" w:rsidR="008B0BD0" w:rsidRDefault="00000000">
      <w:pPr>
        <w:pStyle w:val="af4"/>
      </w:pPr>
      <w:r>
        <w:rPr>
          <w:rFonts w:hint="eastAsia"/>
        </w:rPr>
        <w:t>定位平台剖面示意图</w:t>
      </w:r>
    </w:p>
    <w:p w14:paraId="57722AF4" w14:textId="77777777" w:rsidR="008B0BD0" w:rsidRDefault="00000000">
      <w:pPr>
        <w:pStyle w:val="a6"/>
      </w:pPr>
      <w:r>
        <w:rPr>
          <w:rFonts w:hint="eastAsia"/>
        </w:rPr>
        <w:t>成孔设备就位后，应平整、稳固，在成孔过程中不</w:t>
      </w:r>
      <w:r>
        <w:rPr>
          <w:rFonts w:hint="eastAsia"/>
        </w:rPr>
        <w:t>应</w:t>
      </w:r>
      <w:r>
        <w:rPr>
          <w:rFonts w:hint="eastAsia"/>
        </w:rPr>
        <w:t>发生倾斜和偏移。应在成孔钻具上设置控制深度的标尺，并应在施工中进行观测记录。</w:t>
      </w:r>
    </w:p>
    <w:p w14:paraId="51E6C116" w14:textId="77777777" w:rsidR="008B0BD0" w:rsidRDefault="00000000">
      <w:pPr>
        <w:pStyle w:val="a6"/>
      </w:pPr>
      <w:r>
        <w:rPr>
          <w:rFonts w:hint="eastAsia"/>
        </w:rPr>
        <w:t>成孔施工的桩径不小于设计值，钻孔垂直</w:t>
      </w:r>
      <w:proofErr w:type="gramStart"/>
      <w:r>
        <w:rPr>
          <w:rFonts w:hint="eastAsia"/>
        </w:rPr>
        <w:t>度允许</w:t>
      </w:r>
      <w:proofErr w:type="gramEnd"/>
      <w:r>
        <w:rPr>
          <w:rFonts w:hint="eastAsia"/>
        </w:rPr>
        <w:t>偏差不大于</w:t>
      </w:r>
      <w:r>
        <w:t>1/200</w:t>
      </w:r>
      <w:r>
        <w:rPr>
          <w:rFonts w:hint="eastAsia"/>
        </w:rPr>
        <w:t>，桩位平面允许偏差不大于</w:t>
      </w:r>
      <w:r>
        <w:t>10 mm</w:t>
      </w:r>
      <w:r>
        <w:rPr>
          <w:rFonts w:hint="eastAsia"/>
        </w:rPr>
        <w:t>。</w:t>
      </w:r>
    </w:p>
    <w:p w14:paraId="1C8A38CB" w14:textId="77777777" w:rsidR="008B0BD0" w:rsidRDefault="00000000">
      <w:pPr>
        <w:pStyle w:val="a6"/>
      </w:pPr>
      <w:r>
        <w:rPr>
          <w:rFonts w:hint="eastAsia"/>
        </w:rPr>
        <w:t>钢筋笼</w:t>
      </w:r>
      <w:r>
        <w:rPr>
          <w:rFonts w:hint="eastAsia"/>
        </w:rPr>
        <w:t>在</w:t>
      </w:r>
      <w:r>
        <w:rPr>
          <w:rFonts w:hint="eastAsia"/>
        </w:rPr>
        <w:t>制作</w:t>
      </w:r>
      <w:r>
        <w:rPr>
          <w:rFonts w:hint="eastAsia"/>
        </w:rPr>
        <w:t>时，应在其主筋外侧设加劲箍，钢筋</w:t>
      </w:r>
      <w:proofErr w:type="gramStart"/>
      <w:r>
        <w:rPr>
          <w:rFonts w:hint="eastAsia"/>
        </w:rPr>
        <w:t>笼</w:t>
      </w:r>
      <w:proofErr w:type="gramEnd"/>
      <w:r>
        <w:rPr>
          <w:rFonts w:hint="eastAsia"/>
        </w:rPr>
        <w:t>主筋内侧最大净距（</w:t>
      </w:r>
      <w:r>
        <w:rPr>
          <w:rFonts w:hint="eastAsia"/>
          <w:i/>
          <w:iCs/>
        </w:rPr>
        <w:t>L</w:t>
      </w:r>
      <w:r>
        <w:rPr>
          <w:rFonts w:hint="eastAsia"/>
        </w:rPr>
        <w:t>）应按公式（1）计算。</w:t>
      </w:r>
    </w:p>
    <w:p w14:paraId="7DB18861" w14:textId="77777777" w:rsidR="008B0BD0" w:rsidRDefault="00000000">
      <w:pPr>
        <w:pStyle w:val="afffe"/>
        <w:jc w:val="right"/>
      </w:pPr>
      <m:oMath>
        <m:r>
          <w:rPr>
            <w:rFonts w:ascii="Cambria Math" w:hAnsi="Cambria Math" w:hint="eastAsia"/>
          </w:rPr>
          <m:t>L</m:t>
        </m:r>
        <m:r>
          <w:rPr>
            <w:rFonts w:ascii="Cambria Math" w:hAnsi="Cambria Math"/>
          </w:rPr>
          <m:t>=</m:t>
        </m:r>
        <m:r>
          <w:rPr>
            <w:rFonts w:ascii="Cambria Math" w:hAnsi="Cambria Math" w:hint="eastAsia"/>
          </w:rPr>
          <m:t>D</m:t>
        </m:r>
        <m:r>
          <w:rPr>
            <w:rFonts w:ascii="Cambria Math" w:hAnsi="Cambria Math"/>
          </w:rPr>
          <m:t>+2</m:t>
        </m:r>
        <m:r>
          <w:rPr>
            <w:rFonts w:ascii="Cambria Math" w:hAnsi="Cambria Math" w:hint="eastAsia"/>
          </w:rPr>
          <m:t>d</m:t>
        </m:r>
        <m:r>
          <w:rPr>
            <w:rFonts w:ascii="Cambria Math" w:hAnsi="Cambria Math"/>
          </w:rPr>
          <m:t>+∆</m:t>
        </m:r>
      </m:oMath>
      <w:r>
        <w:t xml:space="preserve"> </w:t>
      </w:r>
      <w:r>
        <w:rPr>
          <w:rFonts w:hint="eastAsia"/>
        </w:rPr>
        <w:t xml:space="preserve">  ·················（1）</w:t>
      </w:r>
    </w:p>
    <w:p w14:paraId="1EC9D9C4" w14:textId="77777777" w:rsidR="008B0BD0" w:rsidRDefault="00000000">
      <w:pPr>
        <w:pStyle w:val="afffe"/>
        <w:rPr>
          <w:szCs w:val="21"/>
        </w:rPr>
      </w:pPr>
      <w:r>
        <w:rPr>
          <w:rFonts w:hint="eastAsia"/>
          <w:szCs w:val="21"/>
        </w:rPr>
        <w:t>式中：</w:t>
      </w:r>
    </w:p>
    <w:p w14:paraId="40B3F6AA" w14:textId="77777777" w:rsidR="008B0BD0" w:rsidRDefault="00000000">
      <w:pPr>
        <w:pStyle w:val="afffe"/>
        <w:ind w:firstLineChars="400" w:firstLine="840"/>
        <w:rPr>
          <w:szCs w:val="21"/>
        </w:rPr>
      </w:pPr>
      <w:r>
        <w:rPr>
          <w:i/>
          <w:iCs/>
          <w:szCs w:val="21"/>
        </w:rPr>
        <w:t>D</w:t>
      </w:r>
      <w:r>
        <w:rPr>
          <w:rFonts w:hint="eastAsia"/>
          <w:szCs w:val="21"/>
        </w:rPr>
        <w:t>——预制芯柱短边长度，单位为毫米（mm）；</w:t>
      </w:r>
    </w:p>
    <w:p w14:paraId="530AB604" w14:textId="77777777" w:rsidR="008B0BD0" w:rsidRDefault="00000000">
      <w:pPr>
        <w:pStyle w:val="afffe"/>
        <w:ind w:firstLineChars="400" w:firstLine="840"/>
        <w:rPr>
          <w:szCs w:val="21"/>
        </w:rPr>
      </w:pPr>
      <w:r>
        <w:rPr>
          <w:i/>
          <w:iCs/>
          <w:szCs w:val="21"/>
        </w:rPr>
        <w:lastRenderedPageBreak/>
        <w:t>d</w:t>
      </w:r>
      <w:r>
        <w:rPr>
          <w:rFonts w:hint="eastAsia"/>
          <w:szCs w:val="21"/>
        </w:rPr>
        <w:t>——灌注混凝土导管接头处外径，单位为毫米（mm）；</w:t>
      </w:r>
    </w:p>
    <w:p w14:paraId="5CF5A49F" w14:textId="77777777" w:rsidR="008B0BD0" w:rsidRDefault="00000000">
      <w:pPr>
        <w:pStyle w:val="afffe"/>
        <w:ind w:firstLineChars="400" w:firstLine="840"/>
        <w:rPr>
          <w:szCs w:val="21"/>
        </w:rPr>
      </w:pPr>
      <w:r>
        <w:rPr>
          <w:rFonts w:ascii="Cambria Math" w:hAnsi="Cambria Math"/>
          <w:szCs w:val="21"/>
        </w:rPr>
        <w:t>∆</w:t>
      </w:r>
      <w:r>
        <w:rPr>
          <w:rFonts w:ascii="Cambria Math" w:hAnsi="Cambria Math" w:hint="eastAsia"/>
          <w:szCs w:val="21"/>
        </w:rPr>
        <w:t>——容许宽度，</w:t>
      </w:r>
      <w:r>
        <w:rPr>
          <w:rFonts w:hint="eastAsia"/>
          <w:szCs w:val="21"/>
        </w:rPr>
        <w:t>单位为毫米（mm），</w:t>
      </w:r>
      <w:r>
        <w:rPr>
          <w:rFonts w:ascii="Cambria Math" w:hAnsi="Cambria Math" w:hint="eastAsia"/>
          <w:szCs w:val="21"/>
        </w:rPr>
        <w:t>不小于</w:t>
      </w:r>
      <w:r>
        <w:rPr>
          <w:rFonts w:ascii="Cambria Math" w:hAnsi="Cambria Math" w:hint="eastAsia"/>
          <w:szCs w:val="21"/>
        </w:rPr>
        <w:t>15</w:t>
      </w:r>
      <w:r>
        <w:rPr>
          <w:rFonts w:ascii="Cambria Math" w:hAnsi="Cambria Math"/>
          <w:szCs w:val="21"/>
        </w:rPr>
        <w:t>0 mm</w:t>
      </w:r>
      <w:bookmarkStart w:id="89" w:name="_Toc38820669"/>
      <w:bookmarkEnd w:id="87"/>
      <w:r>
        <w:rPr>
          <w:rFonts w:ascii="Cambria Math" w:hAnsi="Cambria Math" w:hint="eastAsia"/>
          <w:szCs w:val="21"/>
        </w:rPr>
        <w:t>。</w:t>
      </w:r>
    </w:p>
    <w:p w14:paraId="56B95A8D" w14:textId="77777777" w:rsidR="008B0BD0" w:rsidRDefault="00000000">
      <w:pPr>
        <w:pStyle w:val="a6"/>
      </w:pPr>
      <w:r>
        <w:rPr>
          <w:rFonts w:hint="eastAsia"/>
        </w:rPr>
        <w:t>钢筋</w:t>
      </w:r>
      <w:proofErr w:type="gramStart"/>
      <w:r>
        <w:rPr>
          <w:rFonts w:hint="eastAsia"/>
        </w:rPr>
        <w:t>笼</w:t>
      </w:r>
      <w:proofErr w:type="gramEnd"/>
      <w:r>
        <w:rPr>
          <w:rFonts w:hint="eastAsia"/>
        </w:rPr>
        <w:t>吊装应符合下列规定：</w:t>
      </w:r>
    </w:p>
    <w:p w14:paraId="1FD3B78E" w14:textId="77777777" w:rsidR="008B0BD0" w:rsidRDefault="00000000">
      <w:pPr>
        <w:pStyle w:val="ac"/>
        <w:ind w:left="723"/>
      </w:pPr>
      <w:r>
        <w:rPr>
          <w:rFonts w:hint="eastAsia"/>
        </w:rPr>
        <w:t>当采用接柱平台时，吊装前，先在定位平台上确定平台定位点，平台安装就位后固定，定位偏差小于1</w:t>
      </w:r>
      <w:r>
        <w:t>0 mm</w:t>
      </w:r>
      <w:r>
        <w:rPr>
          <w:rFonts w:hint="eastAsia"/>
        </w:rPr>
        <w:t>；钢筋</w:t>
      </w:r>
      <w:proofErr w:type="gramStart"/>
      <w:r>
        <w:rPr>
          <w:rFonts w:hint="eastAsia"/>
        </w:rPr>
        <w:t>笼沿接</w:t>
      </w:r>
      <w:proofErr w:type="gramEnd"/>
      <w:r>
        <w:rPr>
          <w:rFonts w:hint="eastAsia"/>
        </w:rPr>
        <w:t>柱平台和定位平台中心孔下放，当最后一节钢筋</w:t>
      </w:r>
      <w:proofErr w:type="gramStart"/>
      <w:r>
        <w:rPr>
          <w:rFonts w:hint="eastAsia"/>
        </w:rPr>
        <w:t>笼</w:t>
      </w:r>
      <w:proofErr w:type="gramEnd"/>
      <w:r>
        <w:rPr>
          <w:rFonts w:hint="eastAsia"/>
        </w:rPr>
        <w:t>外露预制芯柱插入深度时，用钢管穿过钢筋笼，固定在接桩平台上；</w:t>
      </w:r>
    </w:p>
    <w:p w14:paraId="18357E62" w14:textId="77777777" w:rsidR="008B0BD0" w:rsidRDefault="00000000">
      <w:pPr>
        <w:pStyle w:val="ac"/>
        <w:ind w:left="723"/>
      </w:pPr>
      <w:r>
        <w:rPr>
          <w:rFonts w:hint="eastAsia"/>
        </w:rPr>
        <w:t>当采用导向支架时，钢筋</w:t>
      </w:r>
      <w:proofErr w:type="gramStart"/>
      <w:r>
        <w:rPr>
          <w:rFonts w:hint="eastAsia"/>
        </w:rPr>
        <w:t>笼</w:t>
      </w:r>
      <w:proofErr w:type="gramEnd"/>
      <w:r>
        <w:rPr>
          <w:rFonts w:hint="eastAsia"/>
        </w:rPr>
        <w:t>下放完成后，再安装导向支架；用钢管将钢筋</w:t>
      </w:r>
      <w:proofErr w:type="gramStart"/>
      <w:r>
        <w:rPr>
          <w:rFonts w:hint="eastAsia"/>
        </w:rPr>
        <w:t>笼</w:t>
      </w:r>
      <w:proofErr w:type="gramEnd"/>
      <w:r>
        <w:rPr>
          <w:rFonts w:hint="eastAsia"/>
        </w:rPr>
        <w:t>固定在定位平台上。</w:t>
      </w:r>
    </w:p>
    <w:p w14:paraId="573E2721" w14:textId="77777777" w:rsidR="008B0BD0" w:rsidRDefault="00000000">
      <w:pPr>
        <w:pStyle w:val="a6"/>
      </w:pPr>
      <w:r>
        <w:rPr>
          <w:rFonts w:hint="eastAsia"/>
        </w:rPr>
        <w:t>预制芯柱和钢筋笼的连接应符合下列规定：</w:t>
      </w:r>
    </w:p>
    <w:p w14:paraId="066FF94E" w14:textId="77777777" w:rsidR="008B0BD0" w:rsidRDefault="00000000">
      <w:pPr>
        <w:pStyle w:val="ac"/>
        <w:ind w:left="723"/>
      </w:pPr>
      <w:r>
        <w:rPr>
          <w:rFonts w:hint="eastAsia"/>
        </w:rPr>
        <w:t>预制芯柱与钢筋</w:t>
      </w:r>
      <w:proofErr w:type="gramStart"/>
      <w:r>
        <w:rPr>
          <w:rFonts w:hint="eastAsia"/>
        </w:rPr>
        <w:t>笼</w:t>
      </w:r>
      <w:proofErr w:type="gramEnd"/>
      <w:r>
        <w:rPr>
          <w:rFonts w:hint="eastAsia"/>
        </w:rPr>
        <w:t>之间采用连接钢筋焊接，连接钢筋直径不小于1</w:t>
      </w:r>
      <w:r>
        <w:t>6 mm</w:t>
      </w:r>
      <w:r>
        <w:rPr>
          <w:rFonts w:hint="eastAsia"/>
        </w:rPr>
        <w:t>；</w:t>
      </w:r>
    </w:p>
    <w:p w14:paraId="10BBD06C" w14:textId="77777777" w:rsidR="008B0BD0" w:rsidRDefault="00000000">
      <w:pPr>
        <w:pStyle w:val="ac"/>
        <w:ind w:left="723"/>
      </w:pPr>
      <w:r>
        <w:rPr>
          <w:rFonts w:hint="eastAsia"/>
        </w:rPr>
        <w:t>在预制芯柱每边预留钢板，连接钢筋一端与预留钢板焊接，焊接长度不小于1</w:t>
      </w:r>
      <w:r>
        <w:t>00 mm</w:t>
      </w:r>
      <w:r>
        <w:rPr>
          <w:rFonts w:hint="eastAsia"/>
        </w:rPr>
        <w:t>，另一端斜向下与钢筋</w:t>
      </w:r>
      <w:proofErr w:type="gramStart"/>
      <w:r>
        <w:rPr>
          <w:rFonts w:hint="eastAsia"/>
        </w:rPr>
        <w:t>笼</w:t>
      </w:r>
      <w:proofErr w:type="gramEnd"/>
      <w:r>
        <w:rPr>
          <w:rFonts w:hint="eastAsia"/>
        </w:rPr>
        <w:t>主筋焊接；</w:t>
      </w:r>
    </w:p>
    <w:p w14:paraId="103783B9" w14:textId="77777777" w:rsidR="008B0BD0" w:rsidRDefault="00000000">
      <w:pPr>
        <w:pStyle w:val="ac"/>
        <w:ind w:left="723"/>
      </w:pPr>
      <w:r>
        <w:rPr>
          <w:rFonts w:hint="eastAsia"/>
        </w:rPr>
        <w:t>连接钢筋具有一定的长度形成柔性连接，焊接后微调</w:t>
      </w:r>
      <w:proofErr w:type="gramStart"/>
      <w:r>
        <w:rPr>
          <w:rFonts w:hint="eastAsia"/>
        </w:rPr>
        <w:t>格构柱</w:t>
      </w:r>
      <w:proofErr w:type="gramEnd"/>
      <w:r>
        <w:rPr>
          <w:rFonts w:hint="eastAsia"/>
        </w:rPr>
        <w:t>，使预制芯柱每边与钢筋</w:t>
      </w:r>
      <w:proofErr w:type="gramStart"/>
      <w:r>
        <w:rPr>
          <w:rFonts w:hint="eastAsia"/>
        </w:rPr>
        <w:t>笼</w:t>
      </w:r>
      <w:proofErr w:type="gramEnd"/>
      <w:r>
        <w:rPr>
          <w:rFonts w:hint="eastAsia"/>
        </w:rPr>
        <w:t>间距均匀，柱身垂直。</w:t>
      </w:r>
      <w:bookmarkEnd w:id="89"/>
    </w:p>
    <w:p w14:paraId="3CC5046F" w14:textId="77777777" w:rsidR="008B0BD0" w:rsidRDefault="00000000">
      <w:pPr>
        <w:pStyle w:val="a6"/>
      </w:pPr>
      <w:r>
        <w:rPr>
          <w:rFonts w:hint="eastAsia"/>
        </w:rPr>
        <w:t>预制芯柱分节的连接可采用多种连接方式，并应符合下列规定：</w:t>
      </w:r>
    </w:p>
    <w:p w14:paraId="6D47E0F3" w14:textId="77777777" w:rsidR="008B0BD0" w:rsidRDefault="00000000">
      <w:pPr>
        <w:pStyle w:val="ac"/>
        <w:ind w:left="723"/>
      </w:pPr>
      <w:r>
        <w:rPr>
          <w:rFonts w:hint="eastAsia"/>
        </w:rPr>
        <w:t>预制芯柱截面为方形时，接头采用端板焊接、角钢焊接、啮合销连接；</w:t>
      </w:r>
    </w:p>
    <w:p w14:paraId="798DC72E" w14:textId="77777777" w:rsidR="008B0BD0" w:rsidRDefault="00000000">
      <w:pPr>
        <w:pStyle w:val="ac"/>
        <w:ind w:left="723"/>
      </w:pPr>
      <w:r>
        <w:rPr>
          <w:rFonts w:hint="eastAsia"/>
        </w:rPr>
        <w:t>截面为圆形时，接头采用端板焊接、啮合销连接、螺纹连接；</w:t>
      </w:r>
    </w:p>
    <w:p w14:paraId="4F1F281F" w14:textId="77777777" w:rsidR="008B0BD0" w:rsidRDefault="00000000">
      <w:pPr>
        <w:pStyle w:val="ac"/>
        <w:ind w:left="723"/>
      </w:pPr>
      <w:r>
        <w:rPr>
          <w:rFonts w:hint="eastAsia"/>
        </w:rPr>
        <w:t>不同连接方式的施工要求符合J</w:t>
      </w:r>
      <w:r>
        <w:t>GJ 94</w:t>
      </w:r>
      <w:r>
        <w:rPr>
          <w:rFonts w:hint="eastAsia"/>
        </w:rPr>
        <w:t>的有关规定。</w:t>
      </w:r>
    </w:p>
    <w:p w14:paraId="79530334" w14:textId="77777777" w:rsidR="008B0BD0" w:rsidRDefault="00000000">
      <w:pPr>
        <w:pStyle w:val="a6"/>
      </w:pPr>
      <w:r>
        <w:rPr>
          <w:rFonts w:hint="eastAsia"/>
        </w:rPr>
        <w:t>下放芯柱前，应确认柱身朝向，保证预埋接驳器、钢板、钢筋等预埋件方位正确。</w:t>
      </w:r>
    </w:p>
    <w:p w14:paraId="00AEC8D9" w14:textId="77777777" w:rsidR="008B0BD0" w:rsidRDefault="00000000">
      <w:pPr>
        <w:pStyle w:val="a6"/>
      </w:pPr>
      <w:r>
        <w:rPr>
          <w:rFonts w:hint="eastAsia"/>
        </w:rPr>
        <w:t>当采用</w:t>
      </w:r>
      <w:proofErr w:type="gramStart"/>
      <w:r>
        <w:rPr>
          <w:rFonts w:hint="eastAsia"/>
        </w:rPr>
        <w:t>送柱器</w:t>
      </w:r>
      <w:proofErr w:type="gramEnd"/>
      <w:r>
        <w:rPr>
          <w:rFonts w:hint="eastAsia"/>
        </w:rPr>
        <w:t>下放预制芯柱和钢筋笼时，应符合下列规定：</w:t>
      </w:r>
    </w:p>
    <w:p w14:paraId="4C5BD01F" w14:textId="77777777" w:rsidR="008B0BD0" w:rsidRDefault="00000000">
      <w:pPr>
        <w:pStyle w:val="ac"/>
        <w:ind w:left="723"/>
      </w:pPr>
      <w:r>
        <w:rPr>
          <w:rFonts w:hint="eastAsia"/>
        </w:rPr>
        <w:t>预制芯柱顶部端板内设置与柱顶连接器的刚性连接措施，采用螺栓连接；</w:t>
      </w:r>
      <w:proofErr w:type="gramStart"/>
      <w:r>
        <w:rPr>
          <w:rFonts w:hint="eastAsia"/>
        </w:rPr>
        <w:t>送柱器</w:t>
      </w:r>
      <w:proofErr w:type="gramEnd"/>
      <w:r>
        <w:rPr>
          <w:rFonts w:hint="eastAsia"/>
        </w:rPr>
        <w:t>采用自动或半自动液压技术，具有机械化夹紧或松开柱顶连接器的功能；</w:t>
      </w:r>
      <w:bookmarkStart w:id="90" w:name="_Hlk132832871"/>
      <w:r>
        <w:rPr>
          <w:rFonts w:hint="eastAsia"/>
        </w:rPr>
        <w:t>夹紧承载力不低于整根预制芯柱和钢筋</w:t>
      </w:r>
      <w:proofErr w:type="gramStart"/>
      <w:r>
        <w:rPr>
          <w:rFonts w:hint="eastAsia"/>
        </w:rPr>
        <w:t>笼</w:t>
      </w:r>
      <w:proofErr w:type="gramEnd"/>
      <w:r>
        <w:rPr>
          <w:rFonts w:hint="eastAsia"/>
        </w:rPr>
        <w:t>总重量的2倍</w:t>
      </w:r>
      <w:bookmarkEnd w:id="90"/>
      <w:r>
        <w:rPr>
          <w:rFonts w:hint="eastAsia"/>
        </w:rPr>
        <w:t>；</w:t>
      </w:r>
    </w:p>
    <w:p w14:paraId="794C244E" w14:textId="77777777" w:rsidR="008B0BD0" w:rsidRDefault="00000000">
      <w:pPr>
        <w:pStyle w:val="ac"/>
        <w:ind w:left="723"/>
      </w:pPr>
      <w:proofErr w:type="gramStart"/>
      <w:r>
        <w:rPr>
          <w:rFonts w:hint="eastAsia"/>
        </w:rPr>
        <w:t>送柱器</w:t>
      </w:r>
      <w:proofErr w:type="gramEnd"/>
      <w:r>
        <w:rPr>
          <w:rFonts w:hint="eastAsia"/>
        </w:rPr>
        <w:t>截面与预制芯柱形状相同，尺寸不大于预制芯柱截面，弯曲度不大于1</w:t>
      </w:r>
      <w:r>
        <w:t>/1000</w:t>
      </w:r>
      <w:r>
        <w:rPr>
          <w:rFonts w:hint="eastAsia"/>
        </w:rPr>
        <w:t>；</w:t>
      </w:r>
      <w:proofErr w:type="gramStart"/>
      <w:r>
        <w:rPr>
          <w:rFonts w:hint="eastAsia"/>
        </w:rPr>
        <w:t>送柱器</w:t>
      </w:r>
      <w:proofErr w:type="gramEnd"/>
      <w:r>
        <w:rPr>
          <w:rFonts w:hint="eastAsia"/>
        </w:rPr>
        <w:t>下端面平整，且与</w:t>
      </w:r>
      <w:proofErr w:type="gramStart"/>
      <w:r>
        <w:rPr>
          <w:rFonts w:hint="eastAsia"/>
        </w:rPr>
        <w:t>送柱器</w:t>
      </w:r>
      <w:proofErr w:type="gramEnd"/>
      <w:r>
        <w:rPr>
          <w:rFonts w:hint="eastAsia"/>
        </w:rPr>
        <w:t>中心轴线相垂直；</w:t>
      </w:r>
    </w:p>
    <w:p w14:paraId="7919B0FB" w14:textId="77777777" w:rsidR="008B0BD0" w:rsidRDefault="00000000">
      <w:pPr>
        <w:pStyle w:val="ac"/>
        <w:ind w:left="723"/>
      </w:pPr>
      <w:proofErr w:type="gramStart"/>
      <w:r>
        <w:rPr>
          <w:rFonts w:hint="eastAsia"/>
        </w:rPr>
        <w:t>送柱器</w:t>
      </w:r>
      <w:proofErr w:type="gramEnd"/>
      <w:r>
        <w:rPr>
          <w:rFonts w:hint="eastAsia"/>
        </w:rPr>
        <w:t>长度</w:t>
      </w:r>
      <w:proofErr w:type="gramStart"/>
      <w:r>
        <w:rPr>
          <w:rFonts w:hint="eastAsia"/>
        </w:rPr>
        <w:t>满足送柱深度</w:t>
      </w:r>
      <w:proofErr w:type="gramEnd"/>
      <w:r>
        <w:rPr>
          <w:rFonts w:hint="eastAsia"/>
        </w:rPr>
        <w:t>的要求，</w:t>
      </w:r>
      <w:proofErr w:type="gramStart"/>
      <w:r>
        <w:rPr>
          <w:rFonts w:hint="eastAsia"/>
        </w:rPr>
        <w:t>根据送柱深度</w:t>
      </w:r>
      <w:proofErr w:type="gramEnd"/>
      <w:r>
        <w:rPr>
          <w:rFonts w:hint="eastAsia"/>
        </w:rPr>
        <w:t>、接柱平台高度和高出平台高度综合确定；</w:t>
      </w:r>
    </w:p>
    <w:p w14:paraId="69A775B5" w14:textId="77777777" w:rsidR="008B0BD0" w:rsidRDefault="00000000">
      <w:pPr>
        <w:pStyle w:val="ac"/>
        <w:ind w:left="723"/>
      </w:pPr>
      <w:r>
        <w:rPr>
          <w:rFonts w:hint="eastAsia"/>
        </w:rPr>
        <w:t>连</w:t>
      </w:r>
      <w:proofErr w:type="gramStart"/>
      <w:r>
        <w:rPr>
          <w:rFonts w:hint="eastAsia"/>
        </w:rPr>
        <w:t>接送柱器时</w:t>
      </w:r>
      <w:proofErr w:type="gramEnd"/>
      <w:r>
        <w:rPr>
          <w:rFonts w:hint="eastAsia"/>
        </w:rPr>
        <w:t>，柱顶连接器高出平台0</w:t>
      </w:r>
      <w:r>
        <w:t>.5 m</w:t>
      </w:r>
      <w:r>
        <w:rPr>
          <w:rFonts w:hint="eastAsia"/>
        </w:rPr>
        <w:t>，将预制芯柱送至设计标高并夹紧后，</w:t>
      </w:r>
      <w:proofErr w:type="gramStart"/>
      <w:r>
        <w:rPr>
          <w:rFonts w:hint="eastAsia"/>
        </w:rPr>
        <w:t>送柱器</w:t>
      </w:r>
      <w:proofErr w:type="gramEnd"/>
      <w:r>
        <w:rPr>
          <w:rFonts w:hint="eastAsia"/>
        </w:rPr>
        <w:t>高出接柱平台操作台0</w:t>
      </w:r>
      <w:r>
        <w:t>.5</w:t>
      </w:r>
      <w:r>
        <w:rPr>
          <w:rFonts w:hint="eastAsia"/>
        </w:rPr>
        <w:t>m～</w:t>
      </w:r>
      <w:r>
        <w:t>1.5m</w:t>
      </w:r>
      <w:r>
        <w:rPr>
          <w:rFonts w:hint="eastAsia"/>
        </w:rPr>
        <w:t>；</w:t>
      </w:r>
    </w:p>
    <w:p w14:paraId="585B8994" w14:textId="77777777" w:rsidR="008B0BD0" w:rsidRDefault="00000000">
      <w:pPr>
        <w:pStyle w:val="ac"/>
        <w:ind w:left="723"/>
      </w:pPr>
      <w:r>
        <w:rPr>
          <w:rFonts w:hint="eastAsia"/>
        </w:rPr>
        <w:t>待混凝土初凝并回填密实后，及时松开、吊出</w:t>
      </w:r>
      <w:proofErr w:type="gramStart"/>
      <w:r>
        <w:rPr>
          <w:rFonts w:hint="eastAsia"/>
        </w:rPr>
        <w:t>送柱器</w:t>
      </w:r>
      <w:proofErr w:type="gramEnd"/>
      <w:r>
        <w:rPr>
          <w:rFonts w:hint="eastAsia"/>
        </w:rPr>
        <w:t>，并清理内部渗入的泥浆等杂物，避免影响</w:t>
      </w:r>
      <w:proofErr w:type="gramStart"/>
      <w:r>
        <w:rPr>
          <w:rFonts w:hint="eastAsia"/>
        </w:rPr>
        <w:t>送柱器</w:t>
      </w:r>
      <w:proofErr w:type="gramEnd"/>
      <w:r>
        <w:rPr>
          <w:rFonts w:hint="eastAsia"/>
        </w:rPr>
        <w:t>重复使用。</w:t>
      </w:r>
    </w:p>
    <w:p w14:paraId="4AB9D106" w14:textId="77777777" w:rsidR="008B0BD0" w:rsidRDefault="00000000">
      <w:pPr>
        <w:pStyle w:val="a6"/>
      </w:pPr>
      <w:r>
        <w:rPr>
          <w:rFonts w:hint="eastAsia"/>
        </w:rPr>
        <w:t>当</w:t>
      </w:r>
      <w:proofErr w:type="gramStart"/>
      <w:r>
        <w:rPr>
          <w:rFonts w:hint="eastAsia"/>
        </w:rPr>
        <w:t>采用截柱工艺</w:t>
      </w:r>
      <w:proofErr w:type="gramEnd"/>
      <w:r>
        <w:rPr>
          <w:rFonts w:hint="eastAsia"/>
        </w:rPr>
        <w:t>，用导向支架下放预制芯柱和钢筋笼时，应符合下列规定：</w:t>
      </w:r>
    </w:p>
    <w:p w14:paraId="5594C059" w14:textId="77777777" w:rsidR="008B0BD0" w:rsidRDefault="00000000">
      <w:pPr>
        <w:pStyle w:val="ac"/>
        <w:ind w:left="723"/>
      </w:pPr>
      <w:r>
        <w:rPr>
          <w:rFonts w:hint="eastAsia"/>
        </w:rPr>
        <w:t>下放预制芯柱前，在定位平台上精确定位并安装导向支架，支架两侧距离柱身取</w:t>
      </w:r>
      <w:r>
        <w:t>10 mm</w:t>
      </w:r>
      <w:r>
        <w:rPr>
          <w:rFonts w:hint="eastAsia"/>
        </w:rPr>
        <w:t>；</w:t>
      </w:r>
    </w:p>
    <w:p w14:paraId="46A4091F" w14:textId="77777777" w:rsidR="008B0BD0" w:rsidRDefault="00000000">
      <w:pPr>
        <w:pStyle w:val="ac"/>
        <w:ind w:left="723"/>
      </w:pPr>
      <w:r>
        <w:rPr>
          <w:rFonts w:hint="eastAsia"/>
        </w:rPr>
        <w:t>预制芯柱柱身预埋螺母，导向支架定位螺栓与预埋螺母连接，将预制芯柱和钢筋</w:t>
      </w:r>
      <w:proofErr w:type="gramStart"/>
      <w:r>
        <w:rPr>
          <w:rFonts w:hint="eastAsia"/>
        </w:rPr>
        <w:t>笼</w:t>
      </w:r>
      <w:proofErr w:type="gramEnd"/>
      <w:r>
        <w:rPr>
          <w:rFonts w:hint="eastAsia"/>
        </w:rPr>
        <w:t>固定后，进行预制芯柱分节连接；</w:t>
      </w:r>
    </w:p>
    <w:p w14:paraId="1DFECE98" w14:textId="77777777" w:rsidR="008B0BD0" w:rsidRDefault="00000000">
      <w:pPr>
        <w:pStyle w:val="ac"/>
        <w:ind w:left="723"/>
      </w:pPr>
      <w:r>
        <w:rPr>
          <w:rFonts w:hint="eastAsia"/>
        </w:rPr>
        <w:t>新增一节特制芯柱，代替</w:t>
      </w:r>
      <w:proofErr w:type="gramStart"/>
      <w:r>
        <w:rPr>
          <w:rFonts w:hint="eastAsia"/>
        </w:rPr>
        <w:t>送柱器</w:t>
      </w:r>
      <w:proofErr w:type="gramEnd"/>
      <w:r>
        <w:rPr>
          <w:rFonts w:hint="eastAsia"/>
        </w:rPr>
        <w:t>；特制芯柱锚入顶板范围钢筋在预制时应采用螺旋波纹管等措施加强保护；特制芯柱柱身预埋螺母位置应根据预制芯柱设计标高、导向支架高度综合确定，螺母中心高度误差不大于</w:t>
      </w:r>
      <w:r>
        <w:t>3 mm</w:t>
      </w:r>
      <w:r>
        <w:rPr>
          <w:rFonts w:hint="eastAsia"/>
        </w:rPr>
        <w:t>；</w:t>
      </w:r>
    </w:p>
    <w:p w14:paraId="53485903" w14:textId="77777777" w:rsidR="008B0BD0" w:rsidRDefault="00000000">
      <w:pPr>
        <w:pStyle w:val="ac"/>
        <w:ind w:left="723"/>
      </w:pPr>
      <w:r>
        <w:rPr>
          <w:rFonts w:hint="eastAsia"/>
        </w:rPr>
        <w:t>待混凝土初凝并回填密实后，拆除导向支架。</w:t>
      </w:r>
    </w:p>
    <w:p w14:paraId="198B9FFC" w14:textId="77777777" w:rsidR="008B0BD0" w:rsidRDefault="00000000">
      <w:pPr>
        <w:pStyle w:val="a6"/>
      </w:pPr>
      <w:proofErr w:type="gramStart"/>
      <w:r>
        <w:rPr>
          <w:rFonts w:hint="eastAsia"/>
        </w:rPr>
        <w:t>压灌混凝土</w:t>
      </w:r>
      <w:proofErr w:type="gramEnd"/>
      <w:r>
        <w:rPr>
          <w:rFonts w:hint="eastAsia"/>
        </w:rPr>
        <w:t>施工应符合下列规定：</w:t>
      </w:r>
    </w:p>
    <w:p w14:paraId="1C853C7F" w14:textId="77777777" w:rsidR="008B0BD0" w:rsidRDefault="00000000">
      <w:pPr>
        <w:pStyle w:val="ac"/>
        <w:ind w:left="723"/>
      </w:pPr>
      <w:r>
        <w:rPr>
          <w:rFonts w:hint="eastAsia"/>
        </w:rPr>
        <w:t>调整并固定预制芯柱和钢筋笼后，进行预制芯柱标高、平面位置和垂直度检验；</w:t>
      </w:r>
    </w:p>
    <w:p w14:paraId="3E6EA596" w14:textId="77777777" w:rsidR="008B0BD0" w:rsidRDefault="00000000">
      <w:pPr>
        <w:pStyle w:val="ac"/>
        <w:ind w:left="723"/>
      </w:pPr>
      <w:r>
        <w:rPr>
          <w:rFonts w:hint="eastAsia"/>
        </w:rPr>
        <w:t>从预制芯柱和钢筋</w:t>
      </w:r>
      <w:proofErr w:type="gramStart"/>
      <w:r>
        <w:rPr>
          <w:rFonts w:hint="eastAsia"/>
        </w:rPr>
        <w:t>笼</w:t>
      </w:r>
      <w:proofErr w:type="gramEnd"/>
      <w:r>
        <w:rPr>
          <w:rFonts w:hint="eastAsia"/>
        </w:rPr>
        <w:t>之间空隙下放导管或气泵管二次清孔，并进行沉渣厚度检验，合格后立即灌注混凝土；</w:t>
      </w:r>
    </w:p>
    <w:p w14:paraId="35D32FFA" w14:textId="77777777" w:rsidR="008B0BD0" w:rsidRDefault="00000000">
      <w:pPr>
        <w:pStyle w:val="ac"/>
        <w:ind w:left="723"/>
      </w:pPr>
      <w:proofErr w:type="gramStart"/>
      <w:r>
        <w:t>超灌高度</w:t>
      </w:r>
      <w:proofErr w:type="gramEnd"/>
      <w:r>
        <w:t>不小于50 cm</w:t>
      </w:r>
      <w:r>
        <w:rPr>
          <w:rFonts w:hint="eastAsia"/>
        </w:rPr>
        <w:t>；</w:t>
      </w:r>
    </w:p>
    <w:p w14:paraId="01E4646A" w14:textId="77777777" w:rsidR="008B0BD0" w:rsidRDefault="00000000">
      <w:pPr>
        <w:pStyle w:val="ac"/>
        <w:ind w:left="723"/>
      </w:pPr>
      <w:r>
        <w:rPr>
          <w:rFonts w:hint="eastAsia"/>
        </w:rPr>
        <w:t>导管压力试验、混凝土质量和</w:t>
      </w:r>
      <w:proofErr w:type="gramStart"/>
      <w:r>
        <w:rPr>
          <w:rFonts w:hint="eastAsia"/>
        </w:rPr>
        <w:t>压灌要求</w:t>
      </w:r>
      <w:proofErr w:type="gramEnd"/>
      <w:r>
        <w:rPr>
          <w:rFonts w:hint="eastAsia"/>
        </w:rPr>
        <w:t>符合J</w:t>
      </w:r>
      <w:r>
        <w:t>GJ 94</w:t>
      </w:r>
      <w:r>
        <w:rPr>
          <w:rFonts w:hint="eastAsia"/>
        </w:rPr>
        <w:t>的有关规定。</w:t>
      </w:r>
    </w:p>
    <w:p w14:paraId="31ECDAC6" w14:textId="77777777" w:rsidR="008B0BD0" w:rsidRDefault="00000000">
      <w:pPr>
        <w:pStyle w:val="a6"/>
      </w:pPr>
      <w:r>
        <w:rPr>
          <w:rFonts w:hint="eastAsia"/>
        </w:rPr>
        <w:t>从地面至混凝土</w:t>
      </w:r>
      <w:proofErr w:type="gramStart"/>
      <w:r>
        <w:rPr>
          <w:rFonts w:hint="eastAsia"/>
        </w:rPr>
        <w:t>超灌高度</w:t>
      </w:r>
      <w:proofErr w:type="gramEnd"/>
      <w:r>
        <w:t>为空桩，待混凝土初凝后，用碎石</w:t>
      </w:r>
      <w:r>
        <w:rPr>
          <w:rFonts w:hint="eastAsia"/>
        </w:rPr>
        <w:t>类材料</w:t>
      </w:r>
      <w:r>
        <w:t>将空</w:t>
      </w:r>
      <w:proofErr w:type="gramStart"/>
      <w:r>
        <w:t>桩部分</w:t>
      </w:r>
      <w:proofErr w:type="gramEnd"/>
      <w:r>
        <w:t>回填密实</w:t>
      </w:r>
      <w:r>
        <w:rPr>
          <w:rFonts w:hint="eastAsia"/>
        </w:rPr>
        <w:t>。</w:t>
      </w:r>
    </w:p>
    <w:p w14:paraId="6691B479" w14:textId="77777777" w:rsidR="008B0BD0" w:rsidRDefault="00000000">
      <w:pPr>
        <w:pStyle w:val="affffffe"/>
      </w:pPr>
      <w:bookmarkStart w:id="91" w:name="_Toc193287388"/>
      <w:bookmarkStart w:id="92" w:name="_Toc167100760"/>
      <w:r>
        <w:rPr>
          <w:rFonts w:hint="eastAsia"/>
        </w:rPr>
        <w:lastRenderedPageBreak/>
        <w:t>基坑开挖和复合施工</w:t>
      </w:r>
      <w:bookmarkEnd w:id="91"/>
      <w:bookmarkEnd w:id="92"/>
    </w:p>
    <w:p w14:paraId="7EC56EEE" w14:textId="77777777" w:rsidR="008B0BD0" w:rsidRDefault="00000000">
      <w:pPr>
        <w:pStyle w:val="a6"/>
      </w:pPr>
      <w:r>
        <w:rPr>
          <w:rFonts w:hint="eastAsia"/>
        </w:rPr>
        <w:t>基坑开挖应符合下列规定：</w:t>
      </w:r>
    </w:p>
    <w:p w14:paraId="773D8CA8" w14:textId="77777777" w:rsidR="008B0BD0" w:rsidRDefault="00000000">
      <w:pPr>
        <w:pStyle w:val="ac"/>
        <w:ind w:left="723"/>
      </w:pPr>
      <w:r>
        <w:rPr>
          <w:rFonts w:hint="eastAsia"/>
        </w:rPr>
        <w:t>开挖采用无水作业；</w:t>
      </w:r>
    </w:p>
    <w:p w14:paraId="0F49EDF7" w14:textId="77777777" w:rsidR="008B0BD0" w:rsidRDefault="00000000">
      <w:pPr>
        <w:pStyle w:val="ac"/>
        <w:ind w:left="723"/>
      </w:pPr>
      <w:r>
        <w:rPr>
          <w:rFonts w:hint="eastAsia"/>
        </w:rPr>
        <w:t>基坑开挖按照分层、分段、分块、对称、平衡、限时的方法确定开挖顺序；</w:t>
      </w:r>
    </w:p>
    <w:p w14:paraId="223AC39F" w14:textId="77777777" w:rsidR="008B0BD0" w:rsidRDefault="00000000">
      <w:pPr>
        <w:pStyle w:val="ac"/>
        <w:ind w:left="723"/>
      </w:pPr>
      <w:r>
        <w:rPr>
          <w:rFonts w:hint="eastAsia"/>
        </w:rPr>
        <w:t>开挖过程中注意保护预制芯柱，芯柱周边0.5 m，采用人工开挖。</w:t>
      </w:r>
    </w:p>
    <w:p w14:paraId="436F68A7" w14:textId="77777777" w:rsidR="008B0BD0" w:rsidRDefault="00000000">
      <w:pPr>
        <w:pStyle w:val="a6"/>
      </w:pPr>
      <w:r>
        <w:rPr>
          <w:rFonts w:hint="eastAsia"/>
        </w:rPr>
        <w:t>复合施工应按下列要求实施：</w:t>
      </w:r>
    </w:p>
    <w:p w14:paraId="240EA9DC" w14:textId="77777777" w:rsidR="008B0BD0" w:rsidRDefault="00000000">
      <w:pPr>
        <w:pStyle w:val="ac"/>
        <w:ind w:left="723"/>
      </w:pPr>
      <w:r>
        <w:rPr>
          <w:rFonts w:hint="eastAsia"/>
        </w:rPr>
        <w:t>结构板、梁和柱的施工工序包括芯柱凿毛、清洗，钢筋绑扎，立模和浇筑混凝土；</w:t>
      </w:r>
    </w:p>
    <w:p w14:paraId="61971292" w14:textId="77777777" w:rsidR="008B0BD0" w:rsidRDefault="00000000">
      <w:pPr>
        <w:pStyle w:val="ac"/>
        <w:ind w:left="723"/>
      </w:pPr>
      <w:r>
        <w:rPr>
          <w:rFonts w:hint="eastAsia"/>
        </w:rPr>
        <w:t>当预制芯柱顶端采用接驳器时，顶板施工流程与中板施工流程一致；</w:t>
      </w:r>
    </w:p>
    <w:p w14:paraId="7BB046F9" w14:textId="77777777" w:rsidR="008B0BD0" w:rsidRDefault="00000000">
      <w:pPr>
        <w:pStyle w:val="ac"/>
        <w:ind w:left="723"/>
      </w:pPr>
      <w:r>
        <w:rPr>
          <w:rFonts w:hint="eastAsia"/>
        </w:rPr>
        <w:t>当预制芯柱顶端</w:t>
      </w:r>
      <w:proofErr w:type="gramStart"/>
      <w:r>
        <w:rPr>
          <w:rFonts w:hint="eastAsia"/>
        </w:rPr>
        <w:t>采用截柱时</w:t>
      </w:r>
      <w:proofErr w:type="gramEnd"/>
      <w:r>
        <w:rPr>
          <w:rFonts w:hint="eastAsia"/>
        </w:rPr>
        <w:t>，采用专用</w:t>
      </w:r>
      <w:proofErr w:type="gramStart"/>
      <w:r>
        <w:rPr>
          <w:rFonts w:hint="eastAsia"/>
        </w:rPr>
        <w:t>环切设备截</w:t>
      </w:r>
      <w:proofErr w:type="gramEnd"/>
      <w:r>
        <w:rPr>
          <w:rFonts w:hint="eastAsia"/>
        </w:rPr>
        <w:t>柱。</w:t>
      </w:r>
    </w:p>
    <w:p w14:paraId="349FB9CA" w14:textId="77777777" w:rsidR="008B0BD0" w:rsidRDefault="00000000">
      <w:pPr>
        <w:pStyle w:val="a6"/>
      </w:pPr>
      <w:r>
        <w:rPr>
          <w:rFonts w:hint="eastAsia"/>
        </w:rPr>
        <w:t>芯柱的凿毛、清洗处理，应符合下列规定：</w:t>
      </w:r>
    </w:p>
    <w:p w14:paraId="6EA7539F" w14:textId="77777777" w:rsidR="008B0BD0" w:rsidRDefault="00000000">
      <w:pPr>
        <w:pStyle w:val="ac"/>
        <w:ind w:left="723"/>
      </w:pPr>
      <w:r>
        <w:rPr>
          <w:rFonts w:hint="eastAsia"/>
        </w:rPr>
        <w:t>凿毛在施工现场实施时，采用钎子、锤子进行人工凿毛，或轻型电锤等工具进行机械凿毛，减少对预制芯柱表面的影响。</w:t>
      </w:r>
    </w:p>
    <w:p w14:paraId="243FE16A" w14:textId="77777777" w:rsidR="008B0BD0" w:rsidRDefault="00000000">
      <w:pPr>
        <w:pStyle w:val="ac"/>
        <w:ind w:left="723"/>
      </w:pPr>
      <w:r>
        <w:rPr>
          <w:rFonts w:hint="eastAsia"/>
        </w:rPr>
        <w:t>凿</w:t>
      </w:r>
      <w:proofErr w:type="gramStart"/>
      <w:r>
        <w:rPr>
          <w:rFonts w:hint="eastAsia"/>
        </w:rPr>
        <w:t>毛做到</w:t>
      </w:r>
      <w:proofErr w:type="gramEnd"/>
      <w:r>
        <w:rPr>
          <w:rFonts w:hint="eastAsia"/>
        </w:rPr>
        <w:t>去掉乳皮，微露粗砂，表面粗糙，复合面凹凸差不小于6</w:t>
      </w:r>
      <w:r>
        <w:t xml:space="preserve"> mm</w:t>
      </w:r>
      <w:r>
        <w:rPr>
          <w:rFonts w:hint="eastAsia"/>
        </w:rPr>
        <w:t>；</w:t>
      </w:r>
    </w:p>
    <w:p w14:paraId="41B773A7" w14:textId="77777777" w:rsidR="008B0BD0" w:rsidRDefault="00000000">
      <w:pPr>
        <w:pStyle w:val="ac"/>
        <w:ind w:left="723"/>
      </w:pPr>
      <w:r>
        <w:rPr>
          <w:rFonts w:hint="eastAsia"/>
        </w:rPr>
        <w:t>清洗做到干净、湿润。</w:t>
      </w:r>
    </w:p>
    <w:p w14:paraId="35DCA6D5" w14:textId="77777777" w:rsidR="008B0BD0" w:rsidRDefault="00000000">
      <w:pPr>
        <w:pStyle w:val="a6"/>
      </w:pPr>
      <w:r>
        <w:rPr>
          <w:rFonts w:hint="eastAsia"/>
        </w:rPr>
        <w:t>钢筋绑扎，</w:t>
      </w:r>
      <w:r>
        <w:rPr>
          <w:rFonts w:hint="eastAsia"/>
        </w:rPr>
        <w:t>应</w:t>
      </w:r>
      <w:r>
        <w:rPr>
          <w:rFonts w:hint="eastAsia"/>
        </w:rPr>
        <w:t>按下列方式实施：</w:t>
      </w:r>
    </w:p>
    <w:p w14:paraId="6CF9190F" w14:textId="77777777" w:rsidR="008B0BD0" w:rsidRDefault="00000000">
      <w:pPr>
        <w:pStyle w:val="ac"/>
        <w:ind w:left="723"/>
      </w:pPr>
      <w:r>
        <w:rPr>
          <w:rFonts w:hint="eastAsia"/>
        </w:rPr>
        <w:t>预制芯柱在工厂预制时，预留锚筋贴合在柱身边缘，凿毛时将预留锚</w:t>
      </w:r>
      <w:proofErr w:type="gramStart"/>
      <w:r>
        <w:rPr>
          <w:rFonts w:hint="eastAsia"/>
        </w:rPr>
        <w:t>筋掰直</w:t>
      </w:r>
      <w:proofErr w:type="gramEnd"/>
      <w:r>
        <w:rPr>
          <w:rFonts w:hint="eastAsia"/>
        </w:rPr>
        <w:t>；</w:t>
      </w:r>
    </w:p>
    <w:p w14:paraId="2B4352EE" w14:textId="77777777" w:rsidR="008B0BD0" w:rsidRDefault="00000000">
      <w:pPr>
        <w:pStyle w:val="ac"/>
        <w:ind w:left="723"/>
      </w:pPr>
      <w:r>
        <w:rPr>
          <w:rFonts w:hint="eastAsia"/>
        </w:rPr>
        <w:t>在芯柱与梁板相交处采取梁板钢筋绕行芯柱的方式，亦采取在芯柱对应位置预埋钢筋接驳器的方式，</w:t>
      </w:r>
      <w:r>
        <w:t>接驳器</w:t>
      </w:r>
      <w:proofErr w:type="gramStart"/>
      <w:r>
        <w:rPr>
          <w:rFonts w:hint="eastAsia"/>
        </w:rPr>
        <w:t>宜设置</w:t>
      </w:r>
      <w:proofErr w:type="gramEnd"/>
      <w:r>
        <w:rPr>
          <w:rFonts w:hint="eastAsia"/>
        </w:rPr>
        <w:t>在梁板范围上下</w:t>
      </w:r>
      <w:r>
        <w:t>50</w:t>
      </w:r>
      <w:r>
        <w:rPr>
          <w:rFonts w:hint="eastAsia"/>
        </w:rPr>
        <w:t xml:space="preserve"> </w:t>
      </w:r>
      <w:r>
        <w:t>mm处。</w:t>
      </w:r>
    </w:p>
    <w:p w14:paraId="50D13F50" w14:textId="77777777" w:rsidR="008B0BD0" w:rsidRDefault="00000000">
      <w:pPr>
        <w:pStyle w:val="ac"/>
        <w:ind w:left="723"/>
      </w:pPr>
      <w:r>
        <w:rPr>
          <w:rFonts w:hint="eastAsia"/>
        </w:rPr>
        <w:t>预制芯柱侧面预留的钢筋接驳器采用封堵帽保护封堵。</w:t>
      </w:r>
    </w:p>
    <w:p w14:paraId="0676CB83" w14:textId="77777777" w:rsidR="008B0BD0" w:rsidRDefault="00000000">
      <w:pPr>
        <w:pStyle w:val="a6"/>
      </w:pPr>
      <w:r>
        <w:rPr>
          <w:rFonts w:hint="eastAsia"/>
        </w:rPr>
        <w:t>复合面宜采取增强界面粘结强度的措施。</w:t>
      </w:r>
    </w:p>
    <w:p w14:paraId="166A2633" w14:textId="77777777" w:rsidR="008B0BD0" w:rsidRDefault="00000000">
      <w:pPr>
        <w:pStyle w:val="a6"/>
      </w:pPr>
      <w:r>
        <w:rPr>
          <w:rFonts w:hint="eastAsia"/>
        </w:rPr>
        <w:t>立模和浇筑混凝土应符合下列规定：</w:t>
      </w:r>
    </w:p>
    <w:p w14:paraId="0148428E" w14:textId="77777777" w:rsidR="008B0BD0" w:rsidRDefault="00000000">
      <w:pPr>
        <w:pStyle w:val="ac"/>
        <w:ind w:left="723"/>
      </w:pPr>
      <w:r>
        <w:rPr>
          <w:rFonts w:hint="eastAsia"/>
        </w:rPr>
        <w:t>坍落度控制在</w:t>
      </w:r>
      <w:r>
        <w:t>120</w:t>
      </w:r>
      <w:r>
        <w:t>mm</w:t>
      </w:r>
      <w:r>
        <w:rPr>
          <w:rFonts w:hint="eastAsia"/>
        </w:rPr>
        <w:t xml:space="preserve"> </w:t>
      </w:r>
      <w:r>
        <w:t>±</w:t>
      </w:r>
      <w:r>
        <w:rPr>
          <w:rFonts w:hint="eastAsia"/>
        </w:rPr>
        <w:t xml:space="preserve"> </w:t>
      </w:r>
      <w:r>
        <w:t>20 mm</w:t>
      </w:r>
      <w:r>
        <w:rPr>
          <w:rFonts w:hint="eastAsia"/>
        </w:rPr>
        <w:t>，坍落度每小时损失不大于2</w:t>
      </w:r>
      <w:r>
        <w:t>0 mm</w:t>
      </w:r>
      <w:r>
        <w:rPr>
          <w:rFonts w:hint="eastAsia"/>
        </w:rPr>
        <w:t>，坍落度总损失值不大于4</w:t>
      </w:r>
      <w:r>
        <w:t>0 mm</w:t>
      </w:r>
      <w:r>
        <w:rPr>
          <w:rFonts w:hint="eastAsia"/>
        </w:rPr>
        <w:t>；</w:t>
      </w:r>
      <w:r>
        <w:t xml:space="preserve"> </w:t>
      </w:r>
    </w:p>
    <w:p w14:paraId="4C2DF4C3" w14:textId="77777777" w:rsidR="008B0BD0" w:rsidRDefault="00000000">
      <w:pPr>
        <w:pStyle w:val="ac"/>
        <w:ind w:left="723"/>
      </w:pPr>
      <w:r>
        <w:rPr>
          <w:rFonts w:hint="eastAsia"/>
        </w:rPr>
        <w:t>模板工程编制专项施工方案；</w:t>
      </w:r>
    </w:p>
    <w:p w14:paraId="1A13B901" w14:textId="77777777" w:rsidR="008B0BD0" w:rsidRDefault="00000000">
      <w:pPr>
        <w:pStyle w:val="ac"/>
        <w:ind w:left="723"/>
      </w:pPr>
      <w:r>
        <w:rPr>
          <w:rFonts w:hint="eastAsia"/>
        </w:rPr>
        <w:t>模板及支架根据安装、使用和拆除工况进行设计，并满足承载力、刚度和整体稳固性要求；模板及支架拆除的顺序及安全措施符合GB 50666的有关规定和施工方案的要求；</w:t>
      </w:r>
    </w:p>
    <w:p w14:paraId="01AD2A58" w14:textId="77777777" w:rsidR="008B0BD0" w:rsidRDefault="00000000">
      <w:pPr>
        <w:pStyle w:val="ac"/>
        <w:ind w:left="723"/>
      </w:pPr>
      <w:r>
        <w:rPr>
          <w:rFonts w:hint="eastAsia"/>
        </w:rPr>
        <w:t>冬期、高温和雨</w:t>
      </w:r>
      <w:proofErr w:type="gramStart"/>
      <w:r>
        <w:rPr>
          <w:rFonts w:hint="eastAsia"/>
        </w:rPr>
        <w:t>期施工</w:t>
      </w:r>
      <w:proofErr w:type="gramEnd"/>
      <w:r>
        <w:rPr>
          <w:rFonts w:hint="eastAsia"/>
        </w:rPr>
        <w:t>符合</w:t>
      </w:r>
      <w:bookmarkStart w:id="93" w:name="_Hlk167012014"/>
      <w:r>
        <w:rPr>
          <w:rFonts w:hint="eastAsia"/>
        </w:rPr>
        <w:t>GB 50666</w:t>
      </w:r>
      <w:bookmarkEnd w:id="93"/>
      <w:r>
        <w:rPr>
          <w:rFonts w:hint="eastAsia"/>
        </w:rPr>
        <w:t>的有关规定。</w:t>
      </w:r>
    </w:p>
    <w:p w14:paraId="6B3E1050" w14:textId="77777777" w:rsidR="008B0BD0" w:rsidRDefault="00000000">
      <w:pPr>
        <w:pStyle w:val="a4"/>
      </w:pPr>
      <w:bookmarkStart w:id="94" w:name="_Toc193287389"/>
      <w:bookmarkStart w:id="95" w:name="_Toc167100761"/>
      <w:r>
        <w:rPr>
          <w:rFonts w:hint="eastAsia"/>
        </w:rPr>
        <w:t>质量验收</w:t>
      </w:r>
      <w:bookmarkEnd w:id="94"/>
      <w:bookmarkEnd w:id="95"/>
    </w:p>
    <w:p w14:paraId="4704BC8F" w14:textId="77777777" w:rsidR="008B0BD0" w:rsidRDefault="00000000">
      <w:pPr>
        <w:pStyle w:val="affffffe"/>
      </w:pPr>
      <w:bookmarkStart w:id="96" w:name="_Toc167100762"/>
      <w:bookmarkStart w:id="97" w:name="_Toc193287390"/>
      <w:r>
        <w:rPr>
          <w:rFonts w:hint="eastAsia"/>
        </w:rPr>
        <w:t>预制芯柱制作验收</w:t>
      </w:r>
      <w:bookmarkEnd w:id="96"/>
      <w:bookmarkEnd w:id="97"/>
    </w:p>
    <w:p w14:paraId="1BC28F4C" w14:textId="77777777" w:rsidR="008B0BD0" w:rsidRDefault="00000000">
      <w:pPr>
        <w:pStyle w:val="a6"/>
      </w:pPr>
      <w:r>
        <w:rPr>
          <w:rFonts w:hint="eastAsia"/>
        </w:rPr>
        <w:t>主控项目包含预制芯柱的质量、外观质量和预埋件，应全数检查，采用观察、尺量检查方法，还应符合下列规定：</w:t>
      </w:r>
    </w:p>
    <w:p w14:paraId="120005D1" w14:textId="77777777" w:rsidR="008B0BD0" w:rsidRDefault="00000000">
      <w:pPr>
        <w:pStyle w:val="ac"/>
        <w:ind w:left="723"/>
      </w:pPr>
      <w:r>
        <w:rPr>
          <w:rFonts w:hint="eastAsia"/>
        </w:rPr>
        <w:t>预制芯柱的检验结合制作顺序逐根进行；</w:t>
      </w:r>
    </w:p>
    <w:p w14:paraId="25EBE70A" w14:textId="77777777" w:rsidR="008B0BD0" w:rsidRDefault="00000000">
      <w:pPr>
        <w:pStyle w:val="ac"/>
        <w:ind w:left="723"/>
      </w:pPr>
      <w:r>
        <w:rPr>
          <w:rFonts w:hint="eastAsia"/>
        </w:rPr>
        <w:t>施工单位和监理单位代表驻厂监督预制芯柱的制作过程；</w:t>
      </w:r>
    </w:p>
    <w:p w14:paraId="660B2261" w14:textId="77777777" w:rsidR="008B0BD0" w:rsidRDefault="00000000">
      <w:pPr>
        <w:pStyle w:val="ac"/>
        <w:ind w:left="723"/>
      </w:pPr>
      <w:r>
        <w:rPr>
          <w:rFonts w:hint="eastAsia"/>
        </w:rPr>
        <w:t>预制芯柱的钢筋骨架允许偏差符合表1的规定；</w:t>
      </w:r>
    </w:p>
    <w:p w14:paraId="5432C279" w14:textId="77777777" w:rsidR="008B0BD0" w:rsidRDefault="00000000">
      <w:pPr>
        <w:pStyle w:val="ac"/>
        <w:ind w:left="723"/>
      </w:pPr>
      <w:r>
        <w:rPr>
          <w:rFonts w:hint="eastAsia"/>
        </w:rPr>
        <w:t>预制芯柱的外观质量</w:t>
      </w:r>
      <w:r>
        <w:rPr>
          <w:rFonts w:hint="eastAsia"/>
        </w:rPr>
        <w:t>无</w:t>
      </w:r>
      <w:r>
        <w:rPr>
          <w:rFonts w:hint="eastAsia"/>
        </w:rPr>
        <w:t>严重缺陷，柱顶和柱尖处</w:t>
      </w:r>
      <w:r>
        <w:rPr>
          <w:rFonts w:hint="eastAsia"/>
        </w:rPr>
        <w:t>无</w:t>
      </w:r>
      <w:r>
        <w:rPr>
          <w:rFonts w:hint="eastAsia"/>
        </w:rPr>
        <w:t>蜂窝、麻面、裂缝或掉角，还符合表2的要求；</w:t>
      </w:r>
    </w:p>
    <w:p w14:paraId="3A5B70A0" w14:textId="77777777" w:rsidR="008B0BD0" w:rsidRDefault="00000000">
      <w:pPr>
        <w:pStyle w:val="ac"/>
        <w:ind w:left="723"/>
      </w:pPr>
      <w:r>
        <w:rPr>
          <w:rFonts w:hint="eastAsia"/>
        </w:rPr>
        <w:t>预制芯柱上的预埋件的材料质量、规格和数量符合设计要求。</w:t>
      </w:r>
    </w:p>
    <w:p w14:paraId="60FC8DB4" w14:textId="77777777" w:rsidR="008B0BD0" w:rsidRDefault="00000000">
      <w:pPr>
        <w:pStyle w:val="af7"/>
      </w:pPr>
      <w:r>
        <w:rPr>
          <w:rFonts w:hint="eastAsia"/>
        </w:rPr>
        <w:t>预制芯柱钢筋骨架的允许偏差</w:t>
      </w:r>
    </w:p>
    <w:tbl>
      <w:tblPr>
        <w:tblStyle w:val="afff7"/>
        <w:tblW w:w="5893" w:type="dxa"/>
        <w:jc w:val="center"/>
        <w:tblLayout w:type="fixed"/>
        <w:tblLook w:val="04A0" w:firstRow="1" w:lastRow="0" w:firstColumn="1" w:lastColumn="0" w:noHBand="0" w:noVBand="1"/>
      </w:tblPr>
      <w:tblGrid>
        <w:gridCol w:w="964"/>
        <w:gridCol w:w="3033"/>
        <w:gridCol w:w="1896"/>
      </w:tblGrid>
      <w:tr w:rsidR="008B0BD0" w14:paraId="44DB7E83" w14:textId="77777777">
        <w:trPr>
          <w:jc w:val="center"/>
        </w:trPr>
        <w:tc>
          <w:tcPr>
            <w:tcW w:w="964" w:type="dxa"/>
            <w:tcBorders>
              <w:top w:val="single" w:sz="8" w:space="0" w:color="auto"/>
              <w:left w:val="single" w:sz="8" w:space="0" w:color="auto"/>
              <w:bottom w:val="single" w:sz="8" w:space="0" w:color="auto"/>
            </w:tcBorders>
          </w:tcPr>
          <w:p w14:paraId="53D51B97" w14:textId="77777777" w:rsidR="008B0BD0" w:rsidRDefault="00000000">
            <w:pPr>
              <w:pStyle w:val="afffe"/>
              <w:ind w:firstLineChars="0" w:firstLine="0"/>
              <w:jc w:val="center"/>
              <w:rPr>
                <w:sz w:val="18"/>
              </w:rPr>
            </w:pPr>
            <w:r>
              <w:rPr>
                <w:rFonts w:hint="eastAsia"/>
                <w:sz w:val="18"/>
              </w:rPr>
              <w:t>项次</w:t>
            </w:r>
          </w:p>
        </w:tc>
        <w:tc>
          <w:tcPr>
            <w:tcW w:w="3033" w:type="dxa"/>
            <w:tcBorders>
              <w:top w:val="single" w:sz="8" w:space="0" w:color="auto"/>
              <w:bottom w:val="single" w:sz="8" w:space="0" w:color="auto"/>
            </w:tcBorders>
          </w:tcPr>
          <w:p w14:paraId="31904A98" w14:textId="77777777" w:rsidR="008B0BD0" w:rsidRDefault="00000000">
            <w:pPr>
              <w:pStyle w:val="afffe"/>
              <w:ind w:firstLineChars="0" w:firstLine="0"/>
              <w:jc w:val="center"/>
              <w:rPr>
                <w:sz w:val="18"/>
              </w:rPr>
            </w:pPr>
            <w:r>
              <w:rPr>
                <w:rFonts w:hint="eastAsia"/>
                <w:sz w:val="18"/>
              </w:rPr>
              <w:t>项目</w:t>
            </w:r>
          </w:p>
        </w:tc>
        <w:tc>
          <w:tcPr>
            <w:tcW w:w="1896" w:type="dxa"/>
            <w:tcBorders>
              <w:top w:val="single" w:sz="8" w:space="0" w:color="auto"/>
              <w:bottom w:val="single" w:sz="8" w:space="0" w:color="auto"/>
              <w:right w:val="single" w:sz="8" w:space="0" w:color="auto"/>
            </w:tcBorders>
          </w:tcPr>
          <w:p w14:paraId="078A81CA" w14:textId="77777777" w:rsidR="008B0BD0" w:rsidRDefault="00000000">
            <w:pPr>
              <w:pStyle w:val="afffe"/>
              <w:ind w:firstLineChars="0" w:firstLine="0"/>
              <w:jc w:val="center"/>
              <w:rPr>
                <w:sz w:val="18"/>
              </w:rPr>
            </w:pPr>
            <w:r>
              <w:rPr>
                <w:rFonts w:hint="eastAsia"/>
                <w:sz w:val="18"/>
              </w:rPr>
              <w:t>允许偏差值</w:t>
            </w:r>
          </w:p>
          <w:p w14:paraId="67A1CA51" w14:textId="77777777" w:rsidR="008B0BD0" w:rsidRDefault="00000000">
            <w:pPr>
              <w:pStyle w:val="afffe"/>
              <w:ind w:firstLineChars="0" w:firstLine="0"/>
              <w:jc w:val="center"/>
              <w:rPr>
                <w:sz w:val="18"/>
              </w:rPr>
            </w:pPr>
            <w:r>
              <w:rPr>
                <w:rFonts w:hint="eastAsia"/>
                <w:sz w:val="18"/>
              </w:rPr>
              <w:t>m</w:t>
            </w:r>
            <w:r>
              <w:rPr>
                <w:sz w:val="18"/>
              </w:rPr>
              <w:t>m</w:t>
            </w:r>
          </w:p>
        </w:tc>
      </w:tr>
      <w:tr w:rsidR="008B0BD0" w14:paraId="51404215" w14:textId="77777777">
        <w:trPr>
          <w:jc w:val="center"/>
        </w:trPr>
        <w:tc>
          <w:tcPr>
            <w:tcW w:w="964" w:type="dxa"/>
            <w:tcBorders>
              <w:top w:val="single" w:sz="8" w:space="0" w:color="auto"/>
              <w:left w:val="single" w:sz="8" w:space="0" w:color="auto"/>
              <w:bottom w:val="single" w:sz="4" w:space="0" w:color="auto"/>
            </w:tcBorders>
          </w:tcPr>
          <w:p w14:paraId="33912F72" w14:textId="77777777" w:rsidR="008B0BD0" w:rsidRDefault="00000000">
            <w:pPr>
              <w:pStyle w:val="afffe"/>
              <w:ind w:firstLineChars="0" w:firstLine="0"/>
              <w:jc w:val="center"/>
              <w:rPr>
                <w:sz w:val="18"/>
              </w:rPr>
            </w:pPr>
            <w:r>
              <w:rPr>
                <w:rFonts w:hint="eastAsia"/>
                <w:sz w:val="18"/>
              </w:rPr>
              <w:t>1</w:t>
            </w:r>
          </w:p>
        </w:tc>
        <w:tc>
          <w:tcPr>
            <w:tcW w:w="3033" w:type="dxa"/>
            <w:tcBorders>
              <w:top w:val="single" w:sz="8" w:space="0" w:color="auto"/>
              <w:bottom w:val="single" w:sz="4" w:space="0" w:color="auto"/>
            </w:tcBorders>
          </w:tcPr>
          <w:p w14:paraId="63D609AB" w14:textId="77777777" w:rsidR="008B0BD0" w:rsidRDefault="00000000">
            <w:pPr>
              <w:pStyle w:val="afffe"/>
              <w:ind w:firstLineChars="0" w:firstLine="0"/>
              <w:jc w:val="center"/>
              <w:rPr>
                <w:sz w:val="18"/>
              </w:rPr>
            </w:pPr>
            <w:r>
              <w:rPr>
                <w:rFonts w:hint="eastAsia"/>
                <w:sz w:val="18"/>
              </w:rPr>
              <w:t>主筋间距</w:t>
            </w:r>
          </w:p>
        </w:tc>
        <w:tc>
          <w:tcPr>
            <w:tcW w:w="1896" w:type="dxa"/>
            <w:tcBorders>
              <w:top w:val="single" w:sz="8" w:space="0" w:color="auto"/>
              <w:bottom w:val="single" w:sz="4" w:space="0" w:color="auto"/>
              <w:right w:val="single" w:sz="8" w:space="0" w:color="auto"/>
            </w:tcBorders>
          </w:tcPr>
          <w:p w14:paraId="253DDC7C" w14:textId="77777777" w:rsidR="008B0BD0" w:rsidRDefault="00000000">
            <w:pPr>
              <w:pStyle w:val="afffe"/>
              <w:ind w:firstLineChars="0" w:firstLine="0"/>
              <w:jc w:val="center"/>
              <w:rPr>
                <w:sz w:val="18"/>
              </w:rPr>
            </w:pPr>
            <w:r>
              <w:rPr>
                <w:rFonts w:hint="eastAsia"/>
                <w:sz w:val="18"/>
              </w:rPr>
              <w:t>±5</w:t>
            </w:r>
          </w:p>
        </w:tc>
      </w:tr>
      <w:tr w:rsidR="008B0BD0" w14:paraId="5E595FE2" w14:textId="77777777">
        <w:trPr>
          <w:jc w:val="center"/>
        </w:trPr>
        <w:tc>
          <w:tcPr>
            <w:tcW w:w="964" w:type="dxa"/>
            <w:tcBorders>
              <w:top w:val="single" w:sz="4" w:space="0" w:color="auto"/>
              <w:left w:val="single" w:sz="8" w:space="0" w:color="auto"/>
              <w:bottom w:val="single" w:sz="4" w:space="0" w:color="auto"/>
              <w:right w:val="single" w:sz="4" w:space="0" w:color="auto"/>
            </w:tcBorders>
          </w:tcPr>
          <w:p w14:paraId="293412F2" w14:textId="77777777" w:rsidR="008B0BD0" w:rsidRDefault="00000000">
            <w:pPr>
              <w:pStyle w:val="afffe"/>
              <w:ind w:firstLineChars="0" w:firstLine="0"/>
              <w:jc w:val="center"/>
              <w:rPr>
                <w:sz w:val="18"/>
              </w:rPr>
            </w:pPr>
            <w:r>
              <w:rPr>
                <w:rFonts w:hint="eastAsia"/>
                <w:sz w:val="18"/>
              </w:rPr>
              <w:lastRenderedPageBreak/>
              <w:t>2</w:t>
            </w:r>
          </w:p>
        </w:tc>
        <w:tc>
          <w:tcPr>
            <w:tcW w:w="3033" w:type="dxa"/>
            <w:tcBorders>
              <w:top w:val="single" w:sz="4" w:space="0" w:color="auto"/>
              <w:left w:val="single" w:sz="4" w:space="0" w:color="auto"/>
              <w:bottom w:val="single" w:sz="4" w:space="0" w:color="auto"/>
              <w:right w:val="single" w:sz="4" w:space="0" w:color="auto"/>
            </w:tcBorders>
          </w:tcPr>
          <w:p w14:paraId="4DC7964B" w14:textId="77777777" w:rsidR="008B0BD0" w:rsidRDefault="00000000">
            <w:pPr>
              <w:pStyle w:val="afffe"/>
              <w:ind w:firstLineChars="0" w:firstLine="0"/>
              <w:jc w:val="center"/>
              <w:rPr>
                <w:sz w:val="18"/>
              </w:rPr>
            </w:pPr>
            <w:r>
              <w:rPr>
                <w:rFonts w:hint="eastAsia"/>
                <w:sz w:val="18"/>
              </w:rPr>
              <w:t>柱尖中心线</w:t>
            </w:r>
          </w:p>
        </w:tc>
        <w:tc>
          <w:tcPr>
            <w:tcW w:w="1896" w:type="dxa"/>
            <w:tcBorders>
              <w:top w:val="single" w:sz="4" w:space="0" w:color="auto"/>
              <w:left w:val="single" w:sz="4" w:space="0" w:color="auto"/>
              <w:bottom w:val="single" w:sz="4" w:space="0" w:color="auto"/>
              <w:right w:val="single" w:sz="8" w:space="0" w:color="auto"/>
            </w:tcBorders>
          </w:tcPr>
          <w:p w14:paraId="7CDDA6EA" w14:textId="77777777" w:rsidR="008B0BD0" w:rsidRDefault="00000000">
            <w:pPr>
              <w:pStyle w:val="afffe"/>
              <w:ind w:firstLineChars="0" w:firstLine="0"/>
              <w:jc w:val="center"/>
              <w:rPr>
                <w:sz w:val="18"/>
              </w:rPr>
            </w:pPr>
            <w:r>
              <w:rPr>
                <w:rFonts w:hint="eastAsia"/>
                <w:sz w:val="18"/>
              </w:rPr>
              <w:t>1</w:t>
            </w:r>
            <w:r>
              <w:rPr>
                <w:sz w:val="18"/>
              </w:rPr>
              <w:t>0</w:t>
            </w:r>
          </w:p>
        </w:tc>
      </w:tr>
      <w:tr w:rsidR="008B0BD0" w14:paraId="6A01561A" w14:textId="77777777">
        <w:trPr>
          <w:jc w:val="center"/>
        </w:trPr>
        <w:tc>
          <w:tcPr>
            <w:tcW w:w="964" w:type="dxa"/>
            <w:tcBorders>
              <w:top w:val="single" w:sz="4" w:space="0" w:color="auto"/>
              <w:left w:val="single" w:sz="8" w:space="0" w:color="auto"/>
              <w:bottom w:val="single" w:sz="4" w:space="0" w:color="auto"/>
              <w:right w:val="single" w:sz="4" w:space="0" w:color="auto"/>
            </w:tcBorders>
          </w:tcPr>
          <w:p w14:paraId="25C04B21" w14:textId="77777777" w:rsidR="008B0BD0" w:rsidRDefault="00000000">
            <w:pPr>
              <w:pStyle w:val="afffe"/>
              <w:ind w:firstLineChars="0" w:firstLine="0"/>
              <w:jc w:val="center"/>
              <w:rPr>
                <w:sz w:val="18"/>
              </w:rPr>
            </w:pPr>
            <w:r>
              <w:rPr>
                <w:rFonts w:hint="eastAsia"/>
                <w:sz w:val="18"/>
              </w:rPr>
              <w:t>3</w:t>
            </w:r>
          </w:p>
        </w:tc>
        <w:tc>
          <w:tcPr>
            <w:tcW w:w="3033" w:type="dxa"/>
            <w:tcBorders>
              <w:top w:val="single" w:sz="4" w:space="0" w:color="auto"/>
              <w:left w:val="single" w:sz="4" w:space="0" w:color="auto"/>
              <w:bottom w:val="single" w:sz="4" w:space="0" w:color="auto"/>
              <w:right w:val="single" w:sz="4" w:space="0" w:color="auto"/>
            </w:tcBorders>
          </w:tcPr>
          <w:p w14:paraId="5D0EE549" w14:textId="77777777" w:rsidR="008B0BD0" w:rsidRDefault="00000000">
            <w:pPr>
              <w:pStyle w:val="afffe"/>
              <w:ind w:firstLineChars="0" w:firstLine="0"/>
              <w:jc w:val="center"/>
              <w:rPr>
                <w:sz w:val="18"/>
              </w:rPr>
            </w:pPr>
            <w:r>
              <w:rPr>
                <w:rFonts w:hint="eastAsia"/>
                <w:sz w:val="18"/>
              </w:rPr>
              <w:t>箍筋间距或螺旋筋的螺距</w:t>
            </w:r>
          </w:p>
        </w:tc>
        <w:tc>
          <w:tcPr>
            <w:tcW w:w="1896" w:type="dxa"/>
            <w:tcBorders>
              <w:top w:val="single" w:sz="4" w:space="0" w:color="auto"/>
              <w:left w:val="single" w:sz="4" w:space="0" w:color="auto"/>
              <w:bottom w:val="single" w:sz="4" w:space="0" w:color="auto"/>
              <w:right w:val="single" w:sz="8" w:space="0" w:color="auto"/>
            </w:tcBorders>
          </w:tcPr>
          <w:p w14:paraId="1F7F197B" w14:textId="77777777" w:rsidR="008B0BD0" w:rsidRDefault="00000000">
            <w:pPr>
              <w:pStyle w:val="afffe"/>
              <w:ind w:firstLineChars="0" w:firstLine="0"/>
              <w:jc w:val="center"/>
              <w:rPr>
                <w:sz w:val="18"/>
              </w:rPr>
            </w:pPr>
            <w:r>
              <w:rPr>
                <w:rFonts w:hint="eastAsia"/>
                <w:sz w:val="18"/>
              </w:rPr>
              <w:t>±</w:t>
            </w:r>
            <w:r>
              <w:rPr>
                <w:sz w:val="18"/>
              </w:rPr>
              <w:t>20</w:t>
            </w:r>
          </w:p>
        </w:tc>
      </w:tr>
      <w:tr w:rsidR="008B0BD0" w14:paraId="2B9F4991" w14:textId="77777777">
        <w:trPr>
          <w:jc w:val="center"/>
        </w:trPr>
        <w:tc>
          <w:tcPr>
            <w:tcW w:w="964" w:type="dxa"/>
            <w:tcBorders>
              <w:top w:val="single" w:sz="4" w:space="0" w:color="auto"/>
              <w:left w:val="single" w:sz="8" w:space="0" w:color="auto"/>
              <w:bottom w:val="single" w:sz="4" w:space="0" w:color="auto"/>
              <w:right w:val="single" w:sz="4" w:space="0" w:color="auto"/>
            </w:tcBorders>
          </w:tcPr>
          <w:p w14:paraId="50511C27" w14:textId="77777777" w:rsidR="008B0BD0" w:rsidRDefault="00000000">
            <w:pPr>
              <w:pStyle w:val="afffe"/>
              <w:ind w:firstLineChars="0" w:firstLine="0"/>
              <w:jc w:val="center"/>
              <w:rPr>
                <w:sz w:val="18"/>
              </w:rPr>
            </w:pPr>
            <w:r>
              <w:rPr>
                <w:rFonts w:hint="eastAsia"/>
                <w:sz w:val="18"/>
              </w:rPr>
              <w:t>4</w:t>
            </w:r>
          </w:p>
        </w:tc>
        <w:tc>
          <w:tcPr>
            <w:tcW w:w="3033" w:type="dxa"/>
            <w:tcBorders>
              <w:top w:val="single" w:sz="4" w:space="0" w:color="auto"/>
              <w:left w:val="single" w:sz="4" w:space="0" w:color="auto"/>
              <w:bottom w:val="single" w:sz="4" w:space="0" w:color="auto"/>
              <w:right w:val="single" w:sz="4" w:space="0" w:color="auto"/>
            </w:tcBorders>
          </w:tcPr>
          <w:p w14:paraId="52B1F5E9" w14:textId="77777777" w:rsidR="008B0BD0" w:rsidRDefault="00000000">
            <w:pPr>
              <w:pStyle w:val="afffe"/>
              <w:ind w:firstLineChars="0" w:firstLine="0"/>
              <w:jc w:val="center"/>
              <w:rPr>
                <w:sz w:val="18"/>
              </w:rPr>
            </w:pPr>
            <w:r>
              <w:rPr>
                <w:rFonts w:hint="eastAsia"/>
                <w:sz w:val="18"/>
              </w:rPr>
              <w:t>吊环沿纵轴线方向</w:t>
            </w:r>
          </w:p>
        </w:tc>
        <w:tc>
          <w:tcPr>
            <w:tcW w:w="1896" w:type="dxa"/>
            <w:tcBorders>
              <w:top w:val="single" w:sz="4" w:space="0" w:color="auto"/>
              <w:left w:val="single" w:sz="4" w:space="0" w:color="auto"/>
              <w:bottom w:val="single" w:sz="4" w:space="0" w:color="auto"/>
              <w:right w:val="single" w:sz="8" w:space="0" w:color="auto"/>
            </w:tcBorders>
          </w:tcPr>
          <w:p w14:paraId="1033BB26" w14:textId="77777777" w:rsidR="008B0BD0" w:rsidRDefault="00000000">
            <w:pPr>
              <w:pStyle w:val="afffe"/>
              <w:ind w:firstLineChars="0" w:firstLine="0"/>
              <w:jc w:val="center"/>
              <w:rPr>
                <w:sz w:val="18"/>
              </w:rPr>
            </w:pPr>
            <w:r>
              <w:rPr>
                <w:rFonts w:hint="eastAsia"/>
                <w:sz w:val="18"/>
              </w:rPr>
              <w:t>±</w:t>
            </w:r>
            <w:r>
              <w:rPr>
                <w:sz w:val="18"/>
              </w:rPr>
              <w:t>20</w:t>
            </w:r>
          </w:p>
        </w:tc>
      </w:tr>
      <w:tr w:rsidR="008B0BD0" w14:paraId="1178C7B7" w14:textId="77777777">
        <w:trPr>
          <w:jc w:val="center"/>
        </w:trPr>
        <w:tc>
          <w:tcPr>
            <w:tcW w:w="964" w:type="dxa"/>
            <w:tcBorders>
              <w:top w:val="single" w:sz="4" w:space="0" w:color="auto"/>
              <w:left w:val="single" w:sz="8" w:space="0" w:color="auto"/>
              <w:bottom w:val="single" w:sz="4" w:space="0" w:color="auto"/>
              <w:right w:val="single" w:sz="4" w:space="0" w:color="auto"/>
            </w:tcBorders>
          </w:tcPr>
          <w:p w14:paraId="18D61253" w14:textId="77777777" w:rsidR="008B0BD0" w:rsidRDefault="00000000">
            <w:pPr>
              <w:pStyle w:val="afffe"/>
              <w:ind w:firstLineChars="0" w:firstLine="0"/>
              <w:jc w:val="center"/>
              <w:rPr>
                <w:sz w:val="18"/>
              </w:rPr>
            </w:pPr>
            <w:r>
              <w:rPr>
                <w:rFonts w:hint="eastAsia"/>
                <w:sz w:val="18"/>
              </w:rPr>
              <w:t>5</w:t>
            </w:r>
          </w:p>
        </w:tc>
        <w:tc>
          <w:tcPr>
            <w:tcW w:w="3033" w:type="dxa"/>
            <w:tcBorders>
              <w:top w:val="single" w:sz="4" w:space="0" w:color="auto"/>
              <w:left w:val="single" w:sz="4" w:space="0" w:color="auto"/>
              <w:bottom w:val="single" w:sz="4" w:space="0" w:color="auto"/>
              <w:right w:val="single" w:sz="4" w:space="0" w:color="auto"/>
            </w:tcBorders>
          </w:tcPr>
          <w:p w14:paraId="6789BB0A" w14:textId="77777777" w:rsidR="008B0BD0" w:rsidRDefault="00000000">
            <w:pPr>
              <w:pStyle w:val="afffe"/>
              <w:ind w:firstLineChars="0" w:firstLine="0"/>
              <w:jc w:val="center"/>
              <w:rPr>
                <w:sz w:val="18"/>
              </w:rPr>
            </w:pPr>
            <w:r>
              <w:rPr>
                <w:rFonts w:hint="eastAsia"/>
                <w:sz w:val="18"/>
              </w:rPr>
              <w:t>吊环沿垂直于柱纵轴线方向</w:t>
            </w:r>
          </w:p>
        </w:tc>
        <w:tc>
          <w:tcPr>
            <w:tcW w:w="1896" w:type="dxa"/>
            <w:tcBorders>
              <w:top w:val="single" w:sz="4" w:space="0" w:color="auto"/>
              <w:left w:val="single" w:sz="4" w:space="0" w:color="auto"/>
              <w:bottom w:val="single" w:sz="4" w:space="0" w:color="auto"/>
              <w:right w:val="single" w:sz="8" w:space="0" w:color="auto"/>
            </w:tcBorders>
          </w:tcPr>
          <w:p w14:paraId="29D95403" w14:textId="77777777" w:rsidR="008B0BD0" w:rsidRDefault="00000000">
            <w:pPr>
              <w:pStyle w:val="afffe"/>
              <w:ind w:firstLineChars="0" w:firstLine="0"/>
              <w:jc w:val="center"/>
              <w:rPr>
                <w:sz w:val="18"/>
              </w:rPr>
            </w:pPr>
            <w:r>
              <w:rPr>
                <w:rFonts w:hint="eastAsia"/>
                <w:sz w:val="18"/>
              </w:rPr>
              <w:t>±</w:t>
            </w:r>
            <w:r>
              <w:rPr>
                <w:sz w:val="18"/>
              </w:rPr>
              <w:t>20</w:t>
            </w:r>
          </w:p>
        </w:tc>
      </w:tr>
      <w:tr w:rsidR="008B0BD0" w14:paraId="357F289E" w14:textId="77777777">
        <w:trPr>
          <w:jc w:val="center"/>
        </w:trPr>
        <w:tc>
          <w:tcPr>
            <w:tcW w:w="964" w:type="dxa"/>
            <w:tcBorders>
              <w:top w:val="single" w:sz="4" w:space="0" w:color="auto"/>
              <w:left w:val="single" w:sz="8" w:space="0" w:color="auto"/>
              <w:bottom w:val="single" w:sz="4" w:space="0" w:color="auto"/>
              <w:right w:val="single" w:sz="4" w:space="0" w:color="auto"/>
            </w:tcBorders>
          </w:tcPr>
          <w:p w14:paraId="61927C0A" w14:textId="77777777" w:rsidR="008B0BD0" w:rsidRDefault="00000000">
            <w:pPr>
              <w:pStyle w:val="afffe"/>
              <w:ind w:firstLineChars="0" w:firstLine="0"/>
              <w:jc w:val="center"/>
              <w:rPr>
                <w:sz w:val="18"/>
              </w:rPr>
            </w:pPr>
            <w:r>
              <w:rPr>
                <w:rFonts w:hint="eastAsia"/>
                <w:sz w:val="18"/>
              </w:rPr>
              <w:t>6</w:t>
            </w:r>
          </w:p>
        </w:tc>
        <w:tc>
          <w:tcPr>
            <w:tcW w:w="3033" w:type="dxa"/>
            <w:tcBorders>
              <w:top w:val="single" w:sz="4" w:space="0" w:color="auto"/>
              <w:left w:val="single" w:sz="4" w:space="0" w:color="auto"/>
              <w:bottom w:val="single" w:sz="4" w:space="0" w:color="auto"/>
              <w:right w:val="single" w:sz="4" w:space="0" w:color="auto"/>
            </w:tcBorders>
          </w:tcPr>
          <w:p w14:paraId="4BAD6D30" w14:textId="77777777" w:rsidR="008B0BD0" w:rsidRDefault="00000000">
            <w:pPr>
              <w:pStyle w:val="afffe"/>
              <w:ind w:firstLineChars="0" w:firstLine="0"/>
              <w:jc w:val="center"/>
              <w:rPr>
                <w:sz w:val="18"/>
              </w:rPr>
            </w:pPr>
            <w:r>
              <w:rPr>
                <w:rFonts w:hint="eastAsia"/>
                <w:sz w:val="18"/>
              </w:rPr>
              <w:t>吊环露出柱表面的高度</w:t>
            </w:r>
          </w:p>
        </w:tc>
        <w:tc>
          <w:tcPr>
            <w:tcW w:w="1896" w:type="dxa"/>
            <w:tcBorders>
              <w:top w:val="single" w:sz="4" w:space="0" w:color="auto"/>
              <w:left w:val="single" w:sz="4" w:space="0" w:color="auto"/>
              <w:bottom w:val="single" w:sz="4" w:space="0" w:color="auto"/>
              <w:right w:val="single" w:sz="8" w:space="0" w:color="auto"/>
            </w:tcBorders>
          </w:tcPr>
          <w:p w14:paraId="5742B74F" w14:textId="77777777" w:rsidR="008B0BD0" w:rsidRDefault="00000000">
            <w:pPr>
              <w:pStyle w:val="afffe"/>
              <w:ind w:firstLineChars="0" w:firstLine="0"/>
              <w:jc w:val="center"/>
              <w:rPr>
                <w:sz w:val="18"/>
              </w:rPr>
            </w:pPr>
            <w:r>
              <w:rPr>
                <w:rFonts w:hint="eastAsia"/>
                <w:sz w:val="18"/>
              </w:rPr>
              <w:t>±</w:t>
            </w:r>
            <w:r>
              <w:rPr>
                <w:sz w:val="18"/>
              </w:rPr>
              <w:t>10</w:t>
            </w:r>
          </w:p>
        </w:tc>
      </w:tr>
      <w:tr w:rsidR="008B0BD0" w14:paraId="1B6A90F9" w14:textId="77777777">
        <w:trPr>
          <w:jc w:val="center"/>
        </w:trPr>
        <w:tc>
          <w:tcPr>
            <w:tcW w:w="964" w:type="dxa"/>
            <w:tcBorders>
              <w:top w:val="single" w:sz="4" w:space="0" w:color="auto"/>
              <w:left w:val="single" w:sz="8" w:space="0" w:color="auto"/>
              <w:bottom w:val="single" w:sz="4" w:space="0" w:color="auto"/>
              <w:right w:val="single" w:sz="4" w:space="0" w:color="auto"/>
            </w:tcBorders>
          </w:tcPr>
          <w:p w14:paraId="6A4603D9" w14:textId="77777777" w:rsidR="008B0BD0" w:rsidRDefault="00000000">
            <w:pPr>
              <w:pStyle w:val="afffe"/>
              <w:ind w:firstLineChars="0" w:firstLine="0"/>
              <w:jc w:val="center"/>
              <w:rPr>
                <w:sz w:val="18"/>
              </w:rPr>
            </w:pPr>
            <w:r>
              <w:rPr>
                <w:rFonts w:hint="eastAsia"/>
                <w:sz w:val="18"/>
              </w:rPr>
              <w:t>7</w:t>
            </w:r>
          </w:p>
        </w:tc>
        <w:tc>
          <w:tcPr>
            <w:tcW w:w="3033" w:type="dxa"/>
            <w:tcBorders>
              <w:top w:val="single" w:sz="4" w:space="0" w:color="auto"/>
              <w:left w:val="single" w:sz="4" w:space="0" w:color="auto"/>
              <w:bottom w:val="single" w:sz="4" w:space="0" w:color="auto"/>
              <w:right w:val="single" w:sz="4" w:space="0" w:color="auto"/>
            </w:tcBorders>
          </w:tcPr>
          <w:p w14:paraId="1B0E7C7E" w14:textId="77777777" w:rsidR="008B0BD0" w:rsidRDefault="00000000">
            <w:pPr>
              <w:pStyle w:val="afffe"/>
              <w:ind w:firstLineChars="0" w:firstLine="0"/>
              <w:jc w:val="center"/>
              <w:rPr>
                <w:sz w:val="18"/>
              </w:rPr>
            </w:pPr>
            <w:r>
              <w:rPr>
                <w:rFonts w:hint="eastAsia"/>
                <w:sz w:val="18"/>
              </w:rPr>
              <w:t>主筋距柱顶距离</w:t>
            </w:r>
          </w:p>
        </w:tc>
        <w:tc>
          <w:tcPr>
            <w:tcW w:w="1896" w:type="dxa"/>
            <w:tcBorders>
              <w:top w:val="single" w:sz="4" w:space="0" w:color="auto"/>
              <w:left w:val="single" w:sz="4" w:space="0" w:color="auto"/>
              <w:bottom w:val="single" w:sz="4" w:space="0" w:color="auto"/>
              <w:right w:val="single" w:sz="8" w:space="0" w:color="auto"/>
            </w:tcBorders>
          </w:tcPr>
          <w:p w14:paraId="15CAAD64" w14:textId="77777777" w:rsidR="008B0BD0" w:rsidRDefault="00000000">
            <w:pPr>
              <w:pStyle w:val="afffe"/>
              <w:ind w:firstLineChars="0" w:firstLine="0"/>
              <w:jc w:val="center"/>
              <w:rPr>
                <w:sz w:val="18"/>
              </w:rPr>
            </w:pPr>
            <w:r>
              <w:rPr>
                <w:rFonts w:hint="eastAsia"/>
                <w:sz w:val="18"/>
              </w:rPr>
              <w:t>±5</w:t>
            </w:r>
          </w:p>
        </w:tc>
      </w:tr>
      <w:tr w:rsidR="008B0BD0" w14:paraId="0294941A" w14:textId="77777777">
        <w:trPr>
          <w:jc w:val="center"/>
        </w:trPr>
        <w:tc>
          <w:tcPr>
            <w:tcW w:w="964" w:type="dxa"/>
            <w:tcBorders>
              <w:top w:val="single" w:sz="4" w:space="0" w:color="auto"/>
              <w:left w:val="single" w:sz="8" w:space="0" w:color="auto"/>
              <w:bottom w:val="single" w:sz="4" w:space="0" w:color="auto"/>
              <w:right w:val="single" w:sz="4" w:space="0" w:color="auto"/>
            </w:tcBorders>
          </w:tcPr>
          <w:p w14:paraId="62486A69" w14:textId="77777777" w:rsidR="008B0BD0" w:rsidRDefault="00000000">
            <w:pPr>
              <w:pStyle w:val="afffe"/>
              <w:ind w:firstLineChars="0" w:firstLine="0"/>
              <w:jc w:val="center"/>
              <w:rPr>
                <w:sz w:val="18"/>
              </w:rPr>
            </w:pPr>
            <w:r>
              <w:rPr>
                <w:rFonts w:hint="eastAsia"/>
                <w:sz w:val="18"/>
              </w:rPr>
              <w:t>8</w:t>
            </w:r>
          </w:p>
        </w:tc>
        <w:tc>
          <w:tcPr>
            <w:tcW w:w="3033" w:type="dxa"/>
            <w:tcBorders>
              <w:top w:val="single" w:sz="4" w:space="0" w:color="auto"/>
              <w:left w:val="single" w:sz="4" w:space="0" w:color="auto"/>
              <w:bottom w:val="single" w:sz="4" w:space="0" w:color="auto"/>
              <w:right w:val="single" w:sz="4" w:space="0" w:color="auto"/>
            </w:tcBorders>
          </w:tcPr>
          <w:p w14:paraId="0F2722B4" w14:textId="77777777" w:rsidR="008B0BD0" w:rsidRDefault="00000000">
            <w:pPr>
              <w:pStyle w:val="afffe"/>
              <w:ind w:firstLineChars="0" w:firstLine="0"/>
              <w:jc w:val="center"/>
              <w:rPr>
                <w:sz w:val="18"/>
              </w:rPr>
            </w:pPr>
            <w:r>
              <w:rPr>
                <w:rFonts w:hint="eastAsia"/>
                <w:sz w:val="18"/>
              </w:rPr>
              <w:t>柱顶钢筋网</w:t>
            </w:r>
            <w:proofErr w:type="gramStart"/>
            <w:r>
              <w:rPr>
                <w:rFonts w:hint="eastAsia"/>
                <w:sz w:val="18"/>
              </w:rPr>
              <w:t>片位置</w:t>
            </w:r>
            <w:proofErr w:type="gramEnd"/>
          </w:p>
        </w:tc>
        <w:tc>
          <w:tcPr>
            <w:tcW w:w="1896" w:type="dxa"/>
            <w:tcBorders>
              <w:top w:val="single" w:sz="4" w:space="0" w:color="auto"/>
              <w:left w:val="single" w:sz="4" w:space="0" w:color="auto"/>
              <w:bottom w:val="single" w:sz="4" w:space="0" w:color="auto"/>
              <w:right w:val="single" w:sz="8" w:space="0" w:color="auto"/>
            </w:tcBorders>
          </w:tcPr>
          <w:p w14:paraId="6B6AFDB9" w14:textId="77777777" w:rsidR="008B0BD0" w:rsidRDefault="00000000">
            <w:pPr>
              <w:pStyle w:val="afffe"/>
              <w:ind w:firstLineChars="0" w:firstLine="0"/>
              <w:jc w:val="center"/>
              <w:rPr>
                <w:sz w:val="18"/>
              </w:rPr>
            </w:pPr>
            <w:r>
              <w:rPr>
                <w:rFonts w:hint="eastAsia"/>
                <w:sz w:val="18"/>
              </w:rPr>
              <w:t>±</w:t>
            </w:r>
            <w:r>
              <w:rPr>
                <w:sz w:val="18"/>
              </w:rPr>
              <w:t>10</w:t>
            </w:r>
          </w:p>
        </w:tc>
      </w:tr>
      <w:tr w:rsidR="008B0BD0" w14:paraId="7416EE3D" w14:textId="77777777">
        <w:trPr>
          <w:jc w:val="center"/>
        </w:trPr>
        <w:tc>
          <w:tcPr>
            <w:tcW w:w="964" w:type="dxa"/>
            <w:tcBorders>
              <w:top w:val="single" w:sz="4" w:space="0" w:color="auto"/>
              <w:left w:val="single" w:sz="8" w:space="0" w:color="auto"/>
              <w:bottom w:val="single" w:sz="8" w:space="0" w:color="auto"/>
              <w:right w:val="single" w:sz="4" w:space="0" w:color="auto"/>
            </w:tcBorders>
          </w:tcPr>
          <w:p w14:paraId="19026085" w14:textId="77777777" w:rsidR="008B0BD0" w:rsidRDefault="00000000">
            <w:pPr>
              <w:pStyle w:val="afffe"/>
              <w:ind w:firstLineChars="0" w:firstLine="0"/>
              <w:jc w:val="center"/>
              <w:rPr>
                <w:sz w:val="18"/>
              </w:rPr>
            </w:pPr>
            <w:r>
              <w:rPr>
                <w:rFonts w:hint="eastAsia"/>
                <w:sz w:val="18"/>
              </w:rPr>
              <w:t>9</w:t>
            </w:r>
          </w:p>
        </w:tc>
        <w:tc>
          <w:tcPr>
            <w:tcW w:w="3033" w:type="dxa"/>
            <w:tcBorders>
              <w:top w:val="single" w:sz="4" w:space="0" w:color="auto"/>
              <w:left w:val="single" w:sz="4" w:space="0" w:color="auto"/>
              <w:bottom w:val="single" w:sz="8" w:space="0" w:color="auto"/>
              <w:right w:val="single" w:sz="4" w:space="0" w:color="auto"/>
            </w:tcBorders>
          </w:tcPr>
          <w:p w14:paraId="0B3D9534" w14:textId="77777777" w:rsidR="008B0BD0" w:rsidRDefault="00000000">
            <w:pPr>
              <w:pStyle w:val="afffe"/>
              <w:ind w:firstLineChars="0" w:firstLine="0"/>
              <w:jc w:val="center"/>
              <w:rPr>
                <w:sz w:val="18"/>
              </w:rPr>
            </w:pPr>
            <w:r>
              <w:rPr>
                <w:rFonts w:hint="eastAsia"/>
                <w:sz w:val="18"/>
              </w:rPr>
              <w:t>预埋件中心位置</w:t>
            </w:r>
          </w:p>
        </w:tc>
        <w:tc>
          <w:tcPr>
            <w:tcW w:w="1896" w:type="dxa"/>
            <w:tcBorders>
              <w:top w:val="single" w:sz="4" w:space="0" w:color="auto"/>
              <w:left w:val="single" w:sz="4" w:space="0" w:color="auto"/>
              <w:bottom w:val="single" w:sz="8" w:space="0" w:color="auto"/>
              <w:right w:val="single" w:sz="8" w:space="0" w:color="auto"/>
            </w:tcBorders>
          </w:tcPr>
          <w:p w14:paraId="5491AFED" w14:textId="77777777" w:rsidR="008B0BD0" w:rsidRDefault="00000000">
            <w:pPr>
              <w:pStyle w:val="afffe"/>
              <w:ind w:firstLineChars="0" w:firstLine="0"/>
              <w:jc w:val="center"/>
              <w:rPr>
                <w:sz w:val="18"/>
              </w:rPr>
            </w:pPr>
            <w:r>
              <w:rPr>
                <w:rFonts w:hint="eastAsia"/>
                <w:sz w:val="18"/>
              </w:rPr>
              <w:t>±</w:t>
            </w:r>
            <w:r>
              <w:rPr>
                <w:sz w:val="18"/>
              </w:rPr>
              <w:t>3</w:t>
            </w:r>
          </w:p>
        </w:tc>
      </w:tr>
    </w:tbl>
    <w:p w14:paraId="2EBE7D84" w14:textId="77777777" w:rsidR="008B0BD0" w:rsidRDefault="00000000">
      <w:pPr>
        <w:pStyle w:val="af7"/>
      </w:pPr>
      <w:r>
        <w:rPr>
          <w:rFonts w:hint="eastAsia"/>
        </w:rPr>
        <w:t>预制芯柱外观质量的允许偏差</w:t>
      </w:r>
    </w:p>
    <w:tbl>
      <w:tblPr>
        <w:tblW w:w="957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18"/>
        <w:gridCol w:w="5849"/>
        <w:gridCol w:w="2303"/>
      </w:tblGrid>
      <w:tr w:rsidR="008B0BD0" w14:paraId="3AE07AF7" w14:textId="77777777">
        <w:trPr>
          <w:jc w:val="center"/>
        </w:trPr>
        <w:tc>
          <w:tcPr>
            <w:tcW w:w="1418" w:type="dxa"/>
            <w:tcBorders>
              <w:top w:val="single" w:sz="8" w:space="0" w:color="auto"/>
              <w:left w:val="single" w:sz="8" w:space="0" w:color="auto"/>
              <w:bottom w:val="single" w:sz="8" w:space="0" w:color="auto"/>
            </w:tcBorders>
            <w:vAlign w:val="center"/>
          </w:tcPr>
          <w:p w14:paraId="5CE20565" w14:textId="77777777" w:rsidR="008B0BD0" w:rsidRDefault="00000000">
            <w:pPr>
              <w:jc w:val="center"/>
              <w:rPr>
                <w:rFonts w:ascii="Times New Roman" w:eastAsia="宋体" w:hAnsi="Times New Roman" w:cs="宋体"/>
                <w:sz w:val="18"/>
                <w:szCs w:val="18"/>
              </w:rPr>
            </w:pPr>
            <w:r>
              <w:rPr>
                <w:rFonts w:ascii="Times New Roman" w:eastAsia="宋体" w:hAnsi="Times New Roman" w:cs="宋体" w:hint="eastAsia"/>
                <w:sz w:val="18"/>
                <w:szCs w:val="18"/>
              </w:rPr>
              <w:t>序号</w:t>
            </w:r>
          </w:p>
        </w:tc>
        <w:tc>
          <w:tcPr>
            <w:tcW w:w="5849" w:type="dxa"/>
            <w:tcBorders>
              <w:top w:val="single" w:sz="8" w:space="0" w:color="auto"/>
              <w:bottom w:val="single" w:sz="8" w:space="0" w:color="auto"/>
            </w:tcBorders>
            <w:vAlign w:val="center"/>
          </w:tcPr>
          <w:p w14:paraId="65F5E8BA" w14:textId="77777777" w:rsidR="008B0BD0" w:rsidRDefault="00000000">
            <w:pPr>
              <w:jc w:val="center"/>
              <w:rPr>
                <w:rFonts w:ascii="Times New Roman" w:eastAsia="宋体" w:hAnsi="Times New Roman" w:cs="宋体"/>
                <w:sz w:val="18"/>
                <w:szCs w:val="18"/>
              </w:rPr>
            </w:pPr>
            <w:r>
              <w:rPr>
                <w:rFonts w:ascii="Times New Roman" w:eastAsia="宋体" w:hAnsi="Times New Roman" w:cs="宋体" w:hint="eastAsia"/>
                <w:sz w:val="18"/>
                <w:szCs w:val="18"/>
              </w:rPr>
              <w:t>项目</w:t>
            </w:r>
          </w:p>
        </w:tc>
        <w:tc>
          <w:tcPr>
            <w:tcW w:w="2303" w:type="dxa"/>
            <w:tcBorders>
              <w:top w:val="single" w:sz="8" w:space="0" w:color="auto"/>
              <w:bottom w:val="single" w:sz="8" w:space="0" w:color="auto"/>
              <w:right w:val="single" w:sz="8" w:space="0" w:color="auto"/>
            </w:tcBorders>
            <w:vAlign w:val="center"/>
          </w:tcPr>
          <w:p w14:paraId="25EE1D22" w14:textId="77777777" w:rsidR="008B0BD0" w:rsidRDefault="00000000">
            <w:pPr>
              <w:jc w:val="center"/>
              <w:rPr>
                <w:rFonts w:ascii="Times New Roman" w:eastAsia="宋体" w:hAnsi="Times New Roman" w:cs="宋体"/>
                <w:sz w:val="18"/>
                <w:szCs w:val="18"/>
              </w:rPr>
            </w:pPr>
            <w:r>
              <w:rPr>
                <w:rFonts w:ascii="Times New Roman" w:eastAsia="宋体" w:hAnsi="Times New Roman" w:cs="宋体" w:hint="eastAsia"/>
                <w:sz w:val="18"/>
                <w:szCs w:val="18"/>
              </w:rPr>
              <w:t>允许偏差</w:t>
            </w:r>
          </w:p>
        </w:tc>
      </w:tr>
      <w:tr w:rsidR="008B0BD0" w14:paraId="05E71299" w14:textId="77777777">
        <w:trPr>
          <w:jc w:val="center"/>
        </w:trPr>
        <w:tc>
          <w:tcPr>
            <w:tcW w:w="1418" w:type="dxa"/>
            <w:tcBorders>
              <w:top w:val="single" w:sz="8" w:space="0" w:color="auto"/>
              <w:left w:val="single" w:sz="8" w:space="0" w:color="auto"/>
              <w:bottom w:val="single" w:sz="4" w:space="0" w:color="auto"/>
            </w:tcBorders>
            <w:vAlign w:val="center"/>
          </w:tcPr>
          <w:p w14:paraId="50DA38DC" w14:textId="77777777" w:rsidR="008B0BD0" w:rsidRDefault="00000000">
            <w:pPr>
              <w:jc w:val="center"/>
              <w:rPr>
                <w:rFonts w:ascii="Times New Roman" w:eastAsia="宋体" w:hAnsi="Times New Roman" w:cs="宋体"/>
                <w:sz w:val="18"/>
                <w:szCs w:val="18"/>
              </w:rPr>
            </w:pPr>
            <w:r>
              <w:rPr>
                <w:rFonts w:ascii="Times New Roman" w:eastAsia="宋体" w:hAnsi="Times New Roman" w:cs="宋体" w:hint="eastAsia"/>
                <w:sz w:val="18"/>
                <w:szCs w:val="18"/>
              </w:rPr>
              <w:t>1</w:t>
            </w:r>
          </w:p>
        </w:tc>
        <w:tc>
          <w:tcPr>
            <w:tcW w:w="5849" w:type="dxa"/>
            <w:tcBorders>
              <w:top w:val="single" w:sz="8" w:space="0" w:color="auto"/>
              <w:bottom w:val="single" w:sz="4" w:space="0" w:color="auto"/>
            </w:tcBorders>
            <w:vAlign w:val="center"/>
          </w:tcPr>
          <w:p w14:paraId="5EC435AC" w14:textId="77777777" w:rsidR="008B0BD0" w:rsidRDefault="00000000">
            <w:pPr>
              <w:jc w:val="center"/>
              <w:rPr>
                <w:rFonts w:ascii="Times New Roman" w:eastAsia="宋体" w:hAnsi="Times New Roman" w:cs="宋体"/>
                <w:sz w:val="18"/>
                <w:szCs w:val="18"/>
              </w:rPr>
            </w:pPr>
            <w:r>
              <w:rPr>
                <w:rFonts w:ascii="Times New Roman" w:eastAsia="宋体" w:hAnsi="Times New Roman" w:cs="宋体" w:hint="eastAsia"/>
                <w:sz w:val="18"/>
                <w:szCs w:val="18"/>
              </w:rPr>
              <w:t>表面平整、密实，掉角深度</w:t>
            </w:r>
          </w:p>
        </w:tc>
        <w:tc>
          <w:tcPr>
            <w:tcW w:w="2303" w:type="dxa"/>
            <w:tcBorders>
              <w:top w:val="single" w:sz="8" w:space="0" w:color="auto"/>
              <w:bottom w:val="single" w:sz="4" w:space="0" w:color="auto"/>
              <w:right w:val="single" w:sz="8" w:space="0" w:color="auto"/>
            </w:tcBorders>
            <w:vAlign w:val="center"/>
          </w:tcPr>
          <w:p w14:paraId="284BFAF3" w14:textId="77777777" w:rsidR="008B0BD0" w:rsidRDefault="00000000">
            <w:pPr>
              <w:jc w:val="center"/>
              <w:rPr>
                <w:rFonts w:ascii="宋体" w:eastAsia="宋体" w:hAnsi="宋体" w:cs="宋体" w:hint="eastAsia"/>
                <w:sz w:val="18"/>
                <w:szCs w:val="18"/>
              </w:rPr>
            </w:pPr>
            <w:r>
              <w:rPr>
                <w:rFonts w:ascii="宋体" w:eastAsia="宋体" w:hAnsi="宋体" w:cs="宋体" w:hint="eastAsia"/>
                <w:sz w:val="18"/>
                <w:szCs w:val="18"/>
              </w:rPr>
              <w:t>≤10 m</w:t>
            </w:r>
            <w:r>
              <w:rPr>
                <w:rFonts w:ascii="宋体" w:eastAsia="宋体" w:hAnsi="宋体" w:cs="宋体"/>
                <w:sz w:val="18"/>
                <w:szCs w:val="18"/>
              </w:rPr>
              <w:t>m</w:t>
            </w:r>
          </w:p>
        </w:tc>
      </w:tr>
      <w:tr w:rsidR="008B0BD0" w14:paraId="571BE4EC" w14:textId="77777777">
        <w:trPr>
          <w:jc w:val="center"/>
        </w:trPr>
        <w:tc>
          <w:tcPr>
            <w:tcW w:w="1418" w:type="dxa"/>
            <w:tcBorders>
              <w:top w:val="single" w:sz="4" w:space="0" w:color="auto"/>
              <w:left w:val="single" w:sz="8" w:space="0" w:color="auto"/>
              <w:bottom w:val="single" w:sz="4" w:space="0" w:color="auto"/>
            </w:tcBorders>
            <w:vAlign w:val="center"/>
          </w:tcPr>
          <w:p w14:paraId="0CC134A7" w14:textId="77777777" w:rsidR="008B0BD0" w:rsidRDefault="00000000">
            <w:pPr>
              <w:jc w:val="center"/>
              <w:rPr>
                <w:rFonts w:ascii="Times New Roman" w:eastAsia="宋体" w:hAnsi="Times New Roman" w:cs="宋体"/>
                <w:sz w:val="18"/>
                <w:szCs w:val="18"/>
              </w:rPr>
            </w:pPr>
            <w:r>
              <w:rPr>
                <w:rFonts w:ascii="Times New Roman" w:eastAsia="宋体" w:hAnsi="Times New Roman" w:cs="宋体" w:hint="eastAsia"/>
                <w:sz w:val="18"/>
                <w:szCs w:val="18"/>
              </w:rPr>
              <w:t>2</w:t>
            </w:r>
          </w:p>
        </w:tc>
        <w:tc>
          <w:tcPr>
            <w:tcW w:w="5849" w:type="dxa"/>
            <w:tcBorders>
              <w:top w:val="single" w:sz="4" w:space="0" w:color="auto"/>
              <w:bottom w:val="single" w:sz="4" w:space="0" w:color="auto"/>
            </w:tcBorders>
            <w:vAlign w:val="center"/>
          </w:tcPr>
          <w:p w14:paraId="6B0D9F91" w14:textId="77777777" w:rsidR="008B0BD0" w:rsidRDefault="00000000">
            <w:pPr>
              <w:jc w:val="center"/>
              <w:rPr>
                <w:rFonts w:ascii="Times New Roman" w:eastAsia="宋体" w:hAnsi="Times New Roman" w:cs="宋体"/>
                <w:sz w:val="18"/>
                <w:szCs w:val="18"/>
              </w:rPr>
            </w:pPr>
            <w:r>
              <w:rPr>
                <w:rFonts w:ascii="Times New Roman" w:eastAsia="宋体" w:hAnsi="Times New Roman" w:cs="宋体" w:hint="eastAsia"/>
                <w:sz w:val="18"/>
                <w:szCs w:val="18"/>
              </w:rPr>
              <w:t>局部蜂窝和掉角的缺损面积不超过全部柱表面积</w:t>
            </w:r>
          </w:p>
        </w:tc>
        <w:tc>
          <w:tcPr>
            <w:tcW w:w="2303" w:type="dxa"/>
            <w:tcBorders>
              <w:top w:val="single" w:sz="4" w:space="0" w:color="auto"/>
              <w:bottom w:val="single" w:sz="4" w:space="0" w:color="auto"/>
              <w:right w:val="single" w:sz="8" w:space="0" w:color="auto"/>
            </w:tcBorders>
            <w:vAlign w:val="center"/>
          </w:tcPr>
          <w:p w14:paraId="04AF60A9" w14:textId="77777777" w:rsidR="008B0BD0" w:rsidRDefault="00000000">
            <w:pPr>
              <w:jc w:val="center"/>
              <w:rPr>
                <w:rFonts w:ascii="宋体" w:eastAsia="宋体" w:hAnsi="宋体" w:cs="宋体" w:hint="eastAsia"/>
                <w:sz w:val="18"/>
                <w:szCs w:val="18"/>
              </w:rPr>
            </w:pPr>
            <w:r>
              <w:rPr>
                <w:rFonts w:ascii="宋体" w:eastAsia="宋体" w:hAnsi="宋体" w:cs="宋体"/>
                <w:sz w:val="18"/>
                <w:szCs w:val="18"/>
              </w:rPr>
              <w:t>0.5%</w:t>
            </w:r>
          </w:p>
        </w:tc>
      </w:tr>
      <w:tr w:rsidR="008B0BD0" w14:paraId="7F09A429" w14:textId="77777777">
        <w:trPr>
          <w:jc w:val="center"/>
        </w:trPr>
        <w:tc>
          <w:tcPr>
            <w:tcW w:w="1418" w:type="dxa"/>
            <w:tcBorders>
              <w:top w:val="single" w:sz="4" w:space="0" w:color="auto"/>
              <w:left w:val="single" w:sz="8" w:space="0" w:color="auto"/>
              <w:bottom w:val="single" w:sz="4" w:space="0" w:color="auto"/>
            </w:tcBorders>
            <w:vAlign w:val="center"/>
          </w:tcPr>
          <w:p w14:paraId="642A0E0B" w14:textId="77777777" w:rsidR="008B0BD0" w:rsidRDefault="00000000">
            <w:pPr>
              <w:jc w:val="center"/>
              <w:rPr>
                <w:rFonts w:ascii="Times New Roman" w:eastAsia="宋体" w:hAnsi="Times New Roman" w:cs="宋体"/>
                <w:sz w:val="18"/>
                <w:szCs w:val="18"/>
              </w:rPr>
            </w:pPr>
            <w:r>
              <w:rPr>
                <w:rFonts w:ascii="Times New Roman" w:eastAsia="宋体" w:hAnsi="Times New Roman" w:cs="宋体" w:hint="eastAsia"/>
                <w:sz w:val="18"/>
                <w:szCs w:val="18"/>
              </w:rPr>
              <w:t>3</w:t>
            </w:r>
          </w:p>
        </w:tc>
        <w:tc>
          <w:tcPr>
            <w:tcW w:w="5849" w:type="dxa"/>
            <w:tcBorders>
              <w:top w:val="single" w:sz="4" w:space="0" w:color="auto"/>
              <w:bottom w:val="single" w:sz="4" w:space="0" w:color="auto"/>
            </w:tcBorders>
            <w:vAlign w:val="center"/>
          </w:tcPr>
          <w:p w14:paraId="3C69B3CF" w14:textId="77777777" w:rsidR="008B0BD0" w:rsidRDefault="00000000">
            <w:pPr>
              <w:jc w:val="center"/>
              <w:rPr>
                <w:rFonts w:ascii="Times New Roman" w:eastAsia="宋体" w:hAnsi="Times New Roman" w:cs="宋体"/>
                <w:sz w:val="18"/>
                <w:szCs w:val="18"/>
              </w:rPr>
            </w:pPr>
            <w:r>
              <w:rPr>
                <w:rFonts w:ascii="Times New Roman" w:eastAsia="宋体" w:hAnsi="Times New Roman" w:cs="宋体" w:hint="eastAsia"/>
                <w:sz w:val="18"/>
                <w:szCs w:val="18"/>
              </w:rPr>
              <w:t>混凝土的收缩裂缝深度</w:t>
            </w:r>
          </w:p>
        </w:tc>
        <w:tc>
          <w:tcPr>
            <w:tcW w:w="2303" w:type="dxa"/>
            <w:tcBorders>
              <w:top w:val="single" w:sz="4" w:space="0" w:color="auto"/>
              <w:bottom w:val="single" w:sz="4" w:space="0" w:color="auto"/>
              <w:right w:val="single" w:sz="8" w:space="0" w:color="auto"/>
            </w:tcBorders>
            <w:vAlign w:val="center"/>
          </w:tcPr>
          <w:p w14:paraId="3E23D0AF" w14:textId="77777777" w:rsidR="008B0BD0" w:rsidRDefault="00000000">
            <w:pPr>
              <w:jc w:val="center"/>
              <w:rPr>
                <w:rFonts w:ascii="宋体" w:eastAsia="宋体" w:hAnsi="宋体" w:cs="宋体" w:hint="eastAsia"/>
                <w:sz w:val="18"/>
                <w:szCs w:val="18"/>
              </w:rPr>
            </w:pPr>
            <w:r>
              <w:rPr>
                <w:rFonts w:ascii="宋体" w:eastAsia="宋体" w:hAnsi="宋体" w:cs="宋体" w:hint="eastAsia"/>
                <w:sz w:val="18"/>
                <w:szCs w:val="18"/>
              </w:rPr>
              <w:t>≤20 m</w:t>
            </w:r>
            <w:r>
              <w:rPr>
                <w:rFonts w:ascii="宋体" w:eastAsia="宋体" w:hAnsi="宋体" w:cs="宋体"/>
                <w:sz w:val="18"/>
                <w:szCs w:val="18"/>
              </w:rPr>
              <w:t>m</w:t>
            </w:r>
          </w:p>
        </w:tc>
      </w:tr>
      <w:tr w:rsidR="008B0BD0" w14:paraId="0C7AC815" w14:textId="77777777">
        <w:trPr>
          <w:jc w:val="center"/>
        </w:trPr>
        <w:tc>
          <w:tcPr>
            <w:tcW w:w="1418" w:type="dxa"/>
            <w:tcBorders>
              <w:top w:val="single" w:sz="4" w:space="0" w:color="auto"/>
              <w:left w:val="single" w:sz="8" w:space="0" w:color="auto"/>
              <w:bottom w:val="single" w:sz="4" w:space="0" w:color="auto"/>
            </w:tcBorders>
            <w:vAlign w:val="center"/>
          </w:tcPr>
          <w:p w14:paraId="2FEBA9E3" w14:textId="77777777" w:rsidR="008B0BD0" w:rsidRDefault="00000000">
            <w:pPr>
              <w:jc w:val="center"/>
              <w:rPr>
                <w:rFonts w:ascii="Times New Roman" w:eastAsia="宋体" w:hAnsi="Times New Roman" w:cs="宋体"/>
                <w:sz w:val="18"/>
                <w:szCs w:val="18"/>
              </w:rPr>
            </w:pPr>
            <w:r>
              <w:rPr>
                <w:rFonts w:ascii="Times New Roman" w:eastAsia="宋体" w:hAnsi="Times New Roman" w:cs="宋体" w:hint="eastAsia"/>
                <w:sz w:val="18"/>
                <w:szCs w:val="18"/>
              </w:rPr>
              <w:t>4</w:t>
            </w:r>
          </w:p>
        </w:tc>
        <w:tc>
          <w:tcPr>
            <w:tcW w:w="5849" w:type="dxa"/>
            <w:tcBorders>
              <w:top w:val="single" w:sz="4" w:space="0" w:color="auto"/>
              <w:bottom w:val="single" w:sz="4" w:space="0" w:color="auto"/>
            </w:tcBorders>
            <w:vAlign w:val="center"/>
          </w:tcPr>
          <w:p w14:paraId="7EE14001" w14:textId="77777777" w:rsidR="008B0BD0" w:rsidRDefault="00000000">
            <w:pPr>
              <w:jc w:val="center"/>
              <w:rPr>
                <w:rFonts w:ascii="Times New Roman" w:eastAsia="宋体" w:hAnsi="Times New Roman" w:cs="宋体"/>
                <w:sz w:val="18"/>
                <w:szCs w:val="18"/>
              </w:rPr>
            </w:pPr>
            <w:r>
              <w:rPr>
                <w:rFonts w:ascii="Times New Roman" w:eastAsia="宋体" w:hAnsi="Times New Roman" w:cs="宋体" w:hint="eastAsia"/>
                <w:sz w:val="18"/>
                <w:szCs w:val="18"/>
              </w:rPr>
              <w:t>混凝土的收缩裂缝宽度</w:t>
            </w:r>
          </w:p>
        </w:tc>
        <w:tc>
          <w:tcPr>
            <w:tcW w:w="2303" w:type="dxa"/>
            <w:tcBorders>
              <w:top w:val="single" w:sz="4" w:space="0" w:color="auto"/>
              <w:bottom w:val="single" w:sz="4" w:space="0" w:color="auto"/>
              <w:right w:val="single" w:sz="8" w:space="0" w:color="auto"/>
            </w:tcBorders>
            <w:vAlign w:val="center"/>
          </w:tcPr>
          <w:p w14:paraId="22615EB3" w14:textId="77777777" w:rsidR="008B0BD0" w:rsidRDefault="00000000">
            <w:pPr>
              <w:jc w:val="center"/>
              <w:rPr>
                <w:rFonts w:ascii="宋体" w:eastAsia="宋体" w:hAnsi="宋体" w:cs="宋体" w:hint="eastAsia"/>
                <w:sz w:val="18"/>
                <w:szCs w:val="18"/>
              </w:rPr>
            </w:pPr>
            <w:r>
              <w:rPr>
                <w:rFonts w:ascii="宋体" w:eastAsia="宋体" w:hAnsi="宋体" w:cs="宋体" w:hint="eastAsia"/>
                <w:sz w:val="18"/>
                <w:szCs w:val="18"/>
              </w:rPr>
              <w:t>≤0.15 m</w:t>
            </w:r>
            <w:r>
              <w:rPr>
                <w:rFonts w:ascii="宋体" w:eastAsia="宋体" w:hAnsi="宋体" w:cs="宋体"/>
                <w:sz w:val="18"/>
                <w:szCs w:val="18"/>
              </w:rPr>
              <w:t>m</w:t>
            </w:r>
          </w:p>
        </w:tc>
      </w:tr>
      <w:tr w:rsidR="008B0BD0" w14:paraId="1BB8A2CF" w14:textId="77777777">
        <w:trPr>
          <w:jc w:val="center"/>
        </w:trPr>
        <w:tc>
          <w:tcPr>
            <w:tcW w:w="1418" w:type="dxa"/>
            <w:tcBorders>
              <w:top w:val="single" w:sz="4" w:space="0" w:color="auto"/>
              <w:left w:val="single" w:sz="8" w:space="0" w:color="auto"/>
              <w:bottom w:val="single" w:sz="8" w:space="0" w:color="auto"/>
            </w:tcBorders>
            <w:vAlign w:val="center"/>
          </w:tcPr>
          <w:p w14:paraId="5D5A72F1" w14:textId="77777777" w:rsidR="008B0BD0" w:rsidRDefault="00000000">
            <w:pPr>
              <w:jc w:val="center"/>
              <w:rPr>
                <w:rFonts w:ascii="Times New Roman" w:eastAsia="宋体" w:hAnsi="Times New Roman" w:cs="宋体"/>
                <w:sz w:val="18"/>
                <w:szCs w:val="18"/>
              </w:rPr>
            </w:pPr>
            <w:r>
              <w:rPr>
                <w:rFonts w:ascii="Times New Roman" w:eastAsia="宋体" w:hAnsi="Times New Roman" w:cs="宋体" w:hint="eastAsia"/>
                <w:sz w:val="18"/>
                <w:szCs w:val="18"/>
              </w:rPr>
              <w:t>5</w:t>
            </w:r>
          </w:p>
        </w:tc>
        <w:tc>
          <w:tcPr>
            <w:tcW w:w="5849" w:type="dxa"/>
            <w:tcBorders>
              <w:top w:val="single" w:sz="4" w:space="0" w:color="auto"/>
              <w:bottom w:val="single" w:sz="8" w:space="0" w:color="auto"/>
            </w:tcBorders>
            <w:vAlign w:val="center"/>
          </w:tcPr>
          <w:p w14:paraId="71F872EC" w14:textId="77777777" w:rsidR="008B0BD0" w:rsidRDefault="00000000">
            <w:pPr>
              <w:jc w:val="center"/>
              <w:rPr>
                <w:rFonts w:ascii="Times New Roman" w:eastAsia="宋体" w:hAnsi="Times New Roman" w:cs="宋体"/>
                <w:sz w:val="18"/>
                <w:szCs w:val="18"/>
              </w:rPr>
            </w:pPr>
            <w:r>
              <w:rPr>
                <w:rFonts w:ascii="Times New Roman" w:eastAsia="宋体" w:hAnsi="Times New Roman" w:cs="宋体" w:hint="eastAsia"/>
                <w:sz w:val="18"/>
                <w:szCs w:val="18"/>
              </w:rPr>
              <w:t>混凝土的横向裂缝长度不超过边长</w:t>
            </w:r>
          </w:p>
        </w:tc>
        <w:tc>
          <w:tcPr>
            <w:tcW w:w="2303" w:type="dxa"/>
            <w:tcBorders>
              <w:top w:val="single" w:sz="4" w:space="0" w:color="auto"/>
              <w:bottom w:val="single" w:sz="8" w:space="0" w:color="auto"/>
              <w:right w:val="single" w:sz="8" w:space="0" w:color="auto"/>
            </w:tcBorders>
            <w:vAlign w:val="center"/>
          </w:tcPr>
          <w:p w14:paraId="635DACBC" w14:textId="77777777" w:rsidR="008B0BD0" w:rsidRDefault="00000000">
            <w:pPr>
              <w:jc w:val="center"/>
              <w:rPr>
                <w:rFonts w:ascii="宋体" w:eastAsia="宋体" w:hAnsi="宋体" w:cs="宋体" w:hint="eastAsia"/>
                <w:sz w:val="18"/>
                <w:szCs w:val="18"/>
              </w:rPr>
            </w:pPr>
            <w:r>
              <w:rPr>
                <w:rFonts w:ascii="宋体" w:eastAsia="宋体" w:hAnsi="宋体" w:cs="宋体" w:hint="eastAsia"/>
                <w:sz w:val="18"/>
                <w:szCs w:val="18"/>
              </w:rPr>
              <w:t>50%</w:t>
            </w:r>
          </w:p>
        </w:tc>
      </w:tr>
    </w:tbl>
    <w:p w14:paraId="154A9201" w14:textId="77777777" w:rsidR="008B0BD0" w:rsidRDefault="00000000">
      <w:pPr>
        <w:pStyle w:val="a6"/>
      </w:pPr>
      <w:r>
        <w:rPr>
          <w:rFonts w:hint="eastAsia"/>
        </w:rPr>
        <w:t>一般项目包含标识、外观质量、制作尺寸，应全数检查，采用观察、尺量检查方法：</w:t>
      </w:r>
    </w:p>
    <w:p w14:paraId="68CFE9AE" w14:textId="77777777" w:rsidR="008B0BD0" w:rsidRDefault="00000000">
      <w:pPr>
        <w:pStyle w:val="ac"/>
        <w:ind w:left="723"/>
      </w:pPr>
      <w:r>
        <w:rPr>
          <w:rFonts w:hint="eastAsia"/>
        </w:rPr>
        <w:t>预制芯柱有标识；</w:t>
      </w:r>
    </w:p>
    <w:p w14:paraId="0B44B6B2" w14:textId="77777777" w:rsidR="008B0BD0" w:rsidRDefault="00000000">
      <w:pPr>
        <w:pStyle w:val="ac"/>
        <w:ind w:left="723"/>
      </w:pPr>
      <w:r>
        <w:rPr>
          <w:rFonts w:hint="eastAsia"/>
        </w:rPr>
        <w:t>预制芯柱外观质量无一般缺陷；</w:t>
      </w:r>
    </w:p>
    <w:p w14:paraId="66216F27" w14:textId="77777777" w:rsidR="008B0BD0" w:rsidRDefault="00000000">
      <w:pPr>
        <w:pStyle w:val="ac"/>
        <w:ind w:left="723"/>
      </w:pPr>
      <w:r>
        <w:rPr>
          <w:rFonts w:hint="eastAsia"/>
        </w:rPr>
        <w:t>预制芯柱尺寸偏差符合表3的规定。</w:t>
      </w:r>
    </w:p>
    <w:p w14:paraId="2BB2169E" w14:textId="77777777" w:rsidR="008B0BD0" w:rsidRDefault="00000000">
      <w:pPr>
        <w:pStyle w:val="af7"/>
      </w:pPr>
      <w:r>
        <w:rPr>
          <w:rFonts w:hint="eastAsia"/>
        </w:rPr>
        <w:t>预制芯柱制作的允许偏差</w:t>
      </w:r>
    </w:p>
    <w:tbl>
      <w:tblPr>
        <w:tblStyle w:val="afff7"/>
        <w:tblW w:w="5846" w:type="dxa"/>
        <w:jc w:val="center"/>
        <w:tblLayout w:type="fixed"/>
        <w:tblLook w:val="04A0" w:firstRow="1" w:lastRow="0" w:firstColumn="1" w:lastColumn="0" w:noHBand="0" w:noVBand="1"/>
      </w:tblPr>
      <w:tblGrid>
        <w:gridCol w:w="885"/>
        <w:gridCol w:w="2219"/>
        <w:gridCol w:w="2742"/>
      </w:tblGrid>
      <w:tr w:rsidR="008B0BD0" w14:paraId="5393E70B" w14:textId="77777777">
        <w:trPr>
          <w:jc w:val="center"/>
        </w:trPr>
        <w:tc>
          <w:tcPr>
            <w:tcW w:w="885" w:type="dxa"/>
            <w:tcBorders>
              <w:top w:val="single" w:sz="8" w:space="0" w:color="auto"/>
              <w:left w:val="single" w:sz="8" w:space="0" w:color="auto"/>
              <w:bottom w:val="single" w:sz="8" w:space="0" w:color="auto"/>
            </w:tcBorders>
          </w:tcPr>
          <w:p w14:paraId="6A1A7101" w14:textId="77777777" w:rsidR="008B0BD0" w:rsidRDefault="00000000">
            <w:pPr>
              <w:pStyle w:val="afffe"/>
              <w:ind w:firstLineChars="0" w:firstLine="0"/>
              <w:jc w:val="center"/>
              <w:rPr>
                <w:sz w:val="18"/>
              </w:rPr>
            </w:pPr>
            <w:r>
              <w:rPr>
                <w:rFonts w:hint="eastAsia"/>
                <w:sz w:val="18"/>
              </w:rPr>
              <w:t>项次</w:t>
            </w:r>
          </w:p>
        </w:tc>
        <w:tc>
          <w:tcPr>
            <w:tcW w:w="2219" w:type="dxa"/>
            <w:tcBorders>
              <w:top w:val="single" w:sz="8" w:space="0" w:color="auto"/>
              <w:bottom w:val="single" w:sz="8" w:space="0" w:color="auto"/>
            </w:tcBorders>
          </w:tcPr>
          <w:p w14:paraId="136E29C1" w14:textId="77777777" w:rsidR="008B0BD0" w:rsidRDefault="00000000">
            <w:pPr>
              <w:pStyle w:val="afffe"/>
              <w:ind w:firstLineChars="0" w:firstLine="0"/>
              <w:jc w:val="center"/>
              <w:rPr>
                <w:sz w:val="18"/>
              </w:rPr>
            </w:pPr>
            <w:r>
              <w:rPr>
                <w:rFonts w:hint="eastAsia"/>
                <w:sz w:val="18"/>
              </w:rPr>
              <w:t>项目</w:t>
            </w:r>
          </w:p>
        </w:tc>
        <w:tc>
          <w:tcPr>
            <w:tcW w:w="2742" w:type="dxa"/>
            <w:tcBorders>
              <w:top w:val="single" w:sz="8" w:space="0" w:color="auto"/>
              <w:bottom w:val="single" w:sz="8" w:space="0" w:color="auto"/>
              <w:right w:val="single" w:sz="8" w:space="0" w:color="auto"/>
            </w:tcBorders>
          </w:tcPr>
          <w:p w14:paraId="0444844B" w14:textId="77777777" w:rsidR="008B0BD0" w:rsidRDefault="00000000">
            <w:pPr>
              <w:pStyle w:val="afffe"/>
              <w:ind w:firstLineChars="0" w:firstLine="0"/>
              <w:jc w:val="center"/>
              <w:rPr>
                <w:sz w:val="18"/>
              </w:rPr>
            </w:pPr>
            <w:r>
              <w:rPr>
                <w:rFonts w:hint="eastAsia"/>
                <w:sz w:val="18"/>
              </w:rPr>
              <w:t>允许偏差值</w:t>
            </w:r>
          </w:p>
        </w:tc>
      </w:tr>
      <w:tr w:rsidR="008B0BD0" w14:paraId="76328D2B" w14:textId="77777777">
        <w:trPr>
          <w:jc w:val="center"/>
        </w:trPr>
        <w:tc>
          <w:tcPr>
            <w:tcW w:w="885" w:type="dxa"/>
            <w:tcBorders>
              <w:top w:val="single" w:sz="8" w:space="0" w:color="auto"/>
              <w:left w:val="single" w:sz="8" w:space="0" w:color="auto"/>
            </w:tcBorders>
          </w:tcPr>
          <w:p w14:paraId="6C137ADE" w14:textId="77777777" w:rsidR="008B0BD0" w:rsidRDefault="00000000">
            <w:pPr>
              <w:pStyle w:val="afffe"/>
              <w:ind w:firstLineChars="0" w:firstLine="0"/>
              <w:jc w:val="center"/>
              <w:rPr>
                <w:sz w:val="18"/>
              </w:rPr>
            </w:pPr>
            <w:r>
              <w:rPr>
                <w:rFonts w:hint="eastAsia"/>
                <w:sz w:val="18"/>
              </w:rPr>
              <w:t>1</w:t>
            </w:r>
          </w:p>
        </w:tc>
        <w:tc>
          <w:tcPr>
            <w:tcW w:w="2219" w:type="dxa"/>
            <w:tcBorders>
              <w:top w:val="single" w:sz="8" w:space="0" w:color="auto"/>
            </w:tcBorders>
          </w:tcPr>
          <w:p w14:paraId="425D89BD" w14:textId="77777777" w:rsidR="008B0BD0" w:rsidRDefault="00000000">
            <w:pPr>
              <w:pStyle w:val="afffe"/>
              <w:ind w:firstLineChars="0" w:firstLine="0"/>
              <w:jc w:val="center"/>
              <w:rPr>
                <w:sz w:val="18"/>
              </w:rPr>
            </w:pPr>
            <w:r>
              <w:rPr>
                <w:rFonts w:hint="eastAsia"/>
                <w:sz w:val="18"/>
              </w:rPr>
              <w:t>横截面边长</w:t>
            </w:r>
          </w:p>
        </w:tc>
        <w:tc>
          <w:tcPr>
            <w:tcW w:w="2742" w:type="dxa"/>
            <w:tcBorders>
              <w:top w:val="single" w:sz="8" w:space="0" w:color="auto"/>
              <w:right w:val="single" w:sz="8" w:space="0" w:color="auto"/>
            </w:tcBorders>
          </w:tcPr>
          <w:p w14:paraId="1979F180" w14:textId="77777777" w:rsidR="008B0BD0" w:rsidRDefault="00000000">
            <w:pPr>
              <w:pStyle w:val="afffe"/>
              <w:ind w:firstLineChars="0" w:firstLine="0"/>
              <w:jc w:val="center"/>
              <w:rPr>
                <w:sz w:val="18"/>
              </w:rPr>
            </w:pPr>
            <w:r>
              <w:rPr>
                <w:rFonts w:hint="eastAsia"/>
                <w:sz w:val="18"/>
              </w:rPr>
              <w:t>±5 m</w:t>
            </w:r>
            <w:r>
              <w:rPr>
                <w:sz w:val="18"/>
              </w:rPr>
              <w:t>m</w:t>
            </w:r>
          </w:p>
        </w:tc>
      </w:tr>
      <w:tr w:rsidR="008B0BD0" w14:paraId="13E0F266" w14:textId="77777777">
        <w:trPr>
          <w:jc w:val="center"/>
        </w:trPr>
        <w:tc>
          <w:tcPr>
            <w:tcW w:w="885" w:type="dxa"/>
            <w:tcBorders>
              <w:left w:val="single" w:sz="8" w:space="0" w:color="auto"/>
            </w:tcBorders>
          </w:tcPr>
          <w:p w14:paraId="0C5EAA61" w14:textId="77777777" w:rsidR="008B0BD0" w:rsidRDefault="00000000">
            <w:pPr>
              <w:pStyle w:val="afffe"/>
              <w:ind w:firstLineChars="0" w:firstLine="0"/>
              <w:jc w:val="center"/>
              <w:rPr>
                <w:sz w:val="18"/>
              </w:rPr>
            </w:pPr>
            <w:r>
              <w:rPr>
                <w:rFonts w:hint="eastAsia"/>
                <w:sz w:val="18"/>
              </w:rPr>
              <w:t>2</w:t>
            </w:r>
          </w:p>
        </w:tc>
        <w:tc>
          <w:tcPr>
            <w:tcW w:w="2219" w:type="dxa"/>
          </w:tcPr>
          <w:p w14:paraId="26BAF32D" w14:textId="77777777" w:rsidR="008B0BD0" w:rsidRDefault="00000000">
            <w:pPr>
              <w:pStyle w:val="afffe"/>
              <w:ind w:firstLineChars="0" w:firstLine="0"/>
              <w:jc w:val="center"/>
              <w:rPr>
                <w:sz w:val="18"/>
              </w:rPr>
            </w:pPr>
            <w:r>
              <w:rPr>
                <w:rFonts w:hint="eastAsia"/>
                <w:sz w:val="18"/>
              </w:rPr>
              <w:t>柱顶对角线之差</w:t>
            </w:r>
          </w:p>
        </w:tc>
        <w:tc>
          <w:tcPr>
            <w:tcW w:w="2742" w:type="dxa"/>
            <w:tcBorders>
              <w:right w:val="single" w:sz="8" w:space="0" w:color="auto"/>
            </w:tcBorders>
          </w:tcPr>
          <w:p w14:paraId="6D0FD811" w14:textId="77777777" w:rsidR="008B0BD0" w:rsidRDefault="00000000">
            <w:pPr>
              <w:pStyle w:val="afffe"/>
              <w:ind w:firstLineChars="0" w:firstLine="0"/>
              <w:jc w:val="center"/>
              <w:rPr>
                <w:sz w:val="18"/>
              </w:rPr>
            </w:pPr>
            <w:r>
              <w:rPr>
                <w:rFonts w:hint="eastAsia"/>
                <w:sz w:val="18"/>
              </w:rPr>
              <w:t>≤5 m</w:t>
            </w:r>
            <w:r>
              <w:rPr>
                <w:sz w:val="18"/>
              </w:rPr>
              <w:t>m</w:t>
            </w:r>
          </w:p>
        </w:tc>
      </w:tr>
      <w:tr w:rsidR="008B0BD0" w14:paraId="04EE5089" w14:textId="77777777">
        <w:trPr>
          <w:jc w:val="center"/>
        </w:trPr>
        <w:tc>
          <w:tcPr>
            <w:tcW w:w="885" w:type="dxa"/>
            <w:tcBorders>
              <w:left w:val="single" w:sz="8" w:space="0" w:color="auto"/>
            </w:tcBorders>
          </w:tcPr>
          <w:p w14:paraId="37BFEE06" w14:textId="77777777" w:rsidR="008B0BD0" w:rsidRDefault="00000000">
            <w:pPr>
              <w:pStyle w:val="afffe"/>
              <w:ind w:firstLineChars="0" w:firstLine="0"/>
              <w:jc w:val="center"/>
              <w:rPr>
                <w:sz w:val="18"/>
              </w:rPr>
            </w:pPr>
            <w:r>
              <w:rPr>
                <w:rFonts w:hint="eastAsia"/>
                <w:sz w:val="18"/>
              </w:rPr>
              <w:t>3</w:t>
            </w:r>
          </w:p>
        </w:tc>
        <w:tc>
          <w:tcPr>
            <w:tcW w:w="2219" w:type="dxa"/>
          </w:tcPr>
          <w:p w14:paraId="591B3425" w14:textId="77777777" w:rsidR="008B0BD0" w:rsidRDefault="00000000">
            <w:pPr>
              <w:pStyle w:val="afffe"/>
              <w:ind w:firstLineChars="0" w:firstLine="0"/>
              <w:jc w:val="center"/>
              <w:rPr>
                <w:sz w:val="18"/>
              </w:rPr>
            </w:pPr>
            <w:r>
              <w:rPr>
                <w:rFonts w:hint="eastAsia"/>
                <w:sz w:val="18"/>
              </w:rPr>
              <w:t>保护层厚度</w:t>
            </w:r>
          </w:p>
        </w:tc>
        <w:tc>
          <w:tcPr>
            <w:tcW w:w="2742" w:type="dxa"/>
            <w:tcBorders>
              <w:right w:val="single" w:sz="8" w:space="0" w:color="auto"/>
            </w:tcBorders>
          </w:tcPr>
          <w:p w14:paraId="03AC52BA" w14:textId="77777777" w:rsidR="008B0BD0" w:rsidRDefault="00000000">
            <w:pPr>
              <w:pStyle w:val="afffe"/>
              <w:ind w:firstLineChars="0" w:firstLine="0"/>
              <w:jc w:val="center"/>
              <w:rPr>
                <w:sz w:val="18"/>
              </w:rPr>
            </w:pPr>
            <w:r>
              <w:rPr>
                <w:rFonts w:hint="eastAsia"/>
                <w:sz w:val="18"/>
              </w:rPr>
              <w:t>±</w:t>
            </w:r>
            <w:r>
              <w:rPr>
                <w:sz w:val="18"/>
              </w:rPr>
              <w:t>5</w:t>
            </w:r>
            <w:r>
              <w:rPr>
                <w:rFonts w:hint="eastAsia"/>
                <w:sz w:val="18"/>
              </w:rPr>
              <w:t xml:space="preserve"> m</w:t>
            </w:r>
            <w:r>
              <w:rPr>
                <w:sz w:val="18"/>
              </w:rPr>
              <w:t>m</w:t>
            </w:r>
          </w:p>
        </w:tc>
      </w:tr>
      <w:tr w:rsidR="008B0BD0" w14:paraId="02F19AE0" w14:textId="77777777">
        <w:trPr>
          <w:jc w:val="center"/>
        </w:trPr>
        <w:tc>
          <w:tcPr>
            <w:tcW w:w="885" w:type="dxa"/>
            <w:tcBorders>
              <w:left w:val="single" w:sz="8" w:space="0" w:color="auto"/>
            </w:tcBorders>
          </w:tcPr>
          <w:p w14:paraId="45945CA1" w14:textId="77777777" w:rsidR="008B0BD0" w:rsidRDefault="00000000">
            <w:pPr>
              <w:pStyle w:val="afffe"/>
              <w:ind w:firstLineChars="0" w:firstLine="0"/>
              <w:jc w:val="center"/>
              <w:rPr>
                <w:sz w:val="18"/>
              </w:rPr>
            </w:pPr>
            <w:r>
              <w:rPr>
                <w:rFonts w:hint="eastAsia"/>
                <w:sz w:val="18"/>
              </w:rPr>
              <w:t>4</w:t>
            </w:r>
          </w:p>
        </w:tc>
        <w:tc>
          <w:tcPr>
            <w:tcW w:w="2219" w:type="dxa"/>
          </w:tcPr>
          <w:p w14:paraId="67B2638E" w14:textId="77777777" w:rsidR="008B0BD0" w:rsidRDefault="00000000">
            <w:pPr>
              <w:pStyle w:val="afffe"/>
              <w:ind w:firstLineChars="0" w:firstLine="0"/>
              <w:jc w:val="center"/>
              <w:rPr>
                <w:sz w:val="18"/>
              </w:rPr>
            </w:pPr>
            <w:r>
              <w:rPr>
                <w:rFonts w:hint="eastAsia"/>
                <w:sz w:val="18"/>
              </w:rPr>
              <w:t>柱身弯曲矢高</w:t>
            </w:r>
          </w:p>
        </w:tc>
        <w:tc>
          <w:tcPr>
            <w:tcW w:w="2742" w:type="dxa"/>
            <w:tcBorders>
              <w:right w:val="single" w:sz="8" w:space="0" w:color="auto"/>
            </w:tcBorders>
          </w:tcPr>
          <w:p w14:paraId="41A21AF9" w14:textId="77777777" w:rsidR="008B0BD0" w:rsidRDefault="00000000">
            <w:pPr>
              <w:pStyle w:val="afffe"/>
              <w:ind w:firstLineChars="0" w:firstLine="0"/>
              <w:jc w:val="center"/>
              <w:rPr>
                <w:sz w:val="18"/>
              </w:rPr>
            </w:pPr>
            <w:r>
              <w:rPr>
                <w:rFonts w:hint="eastAsia"/>
                <w:sz w:val="18"/>
              </w:rPr>
              <w:t>不大于1‰</w:t>
            </w:r>
            <w:r>
              <w:rPr>
                <w:rFonts w:hint="eastAsia"/>
                <w:sz w:val="18"/>
              </w:rPr>
              <w:t>柱</w:t>
            </w:r>
            <w:r>
              <w:rPr>
                <w:sz w:val="18"/>
              </w:rPr>
              <w:t>长，且不大于</w:t>
            </w:r>
            <w:r>
              <w:rPr>
                <w:rFonts w:hint="eastAsia"/>
                <w:sz w:val="18"/>
              </w:rPr>
              <w:t>2</w:t>
            </w:r>
            <w:r>
              <w:rPr>
                <w:sz w:val="18"/>
              </w:rPr>
              <w:t>0</w:t>
            </w:r>
            <w:r>
              <w:rPr>
                <w:rFonts w:hint="eastAsia"/>
                <w:sz w:val="18"/>
              </w:rPr>
              <w:t xml:space="preserve"> m</w:t>
            </w:r>
            <w:r>
              <w:rPr>
                <w:sz w:val="18"/>
              </w:rPr>
              <w:t>m</w:t>
            </w:r>
          </w:p>
        </w:tc>
      </w:tr>
      <w:tr w:rsidR="008B0BD0" w14:paraId="12799D2C" w14:textId="77777777">
        <w:trPr>
          <w:jc w:val="center"/>
        </w:trPr>
        <w:tc>
          <w:tcPr>
            <w:tcW w:w="885" w:type="dxa"/>
            <w:tcBorders>
              <w:left w:val="single" w:sz="8" w:space="0" w:color="auto"/>
            </w:tcBorders>
          </w:tcPr>
          <w:p w14:paraId="09CF43BE" w14:textId="77777777" w:rsidR="008B0BD0" w:rsidRDefault="00000000">
            <w:pPr>
              <w:pStyle w:val="afffe"/>
              <w:ind w:firstLineChars="0" w:firstLine="0"/>
              <w:jc w:val="center"/>
              <w:rPr>
                <w:sz w:val="18"/>
              </w:rPr>
            </w:pPr>
            <w:r>
              <w:rPr>
                <w:rFonts w:hint="eastAsia"/>
                <w:sz w:val="18"/>
              </w:rPr>
              <w:t>5</w:t>
            </w:r>
          </w:p>
        </w:tc>
        <w:tc>
          <w:tcPr>
            <w:tcW w:w="2219" w:type="dxa"/>
          </w:tcPr>
          <w:p w14:paraId="6F66849F" w14:textId="77777777" w:rsidR="008B0BD0" w:rsidRDefault="00000000">
            <w:pPr>
              <w:pStyle w:val="afffe"/>
              <w:ind w:firstLineChars="0" w:firstLine="0"/>
              <w:jc w:val="center"/>
              <w:rPr>
                <w:sz w:val="18"/>
              </w:rPr>
            </w:pPr>
            <w:r>
              <w:rPr>
                <w:rFonts w:hint="eastAsia"/>
                <w:sz w:val="18"/>
              </w:rPr>
              <w:t>柱尖偏心</w:t>
            </w:r>
          </w:p>
        </w:tc>
        <w:tc>
          <w:tcPr>
            <w:tcW w:w="2742" w:type="dxa"/>
            <w:tcBorders>
              <w:right w:val="single" w:sz="8" w:space="0" w:color="auto"/>
            </w:tcBorders>
          </w:tcPr>
          <w:p w14:paraId="4AFACC3A" w14:textId="77777777" w:rsidR="008B0BD0" w:rsidRDefault="00000000">
            <w:pPr>
              <w:pStyle w:val="afffe"/>
              <w:ind w:firstLineChars="0" w:firstLine="0"/>
              <w:jc w:val="center"/>
              <w:rPr>
                <w:sz w:val="18"/>
              </w:rPr>
            </w:pPr>
            <w:r>
              <w:rPr>
                <w:rFonts w:hint="eastAsia"/>
                <w:sz w:val="18"/>
              </w:rPr>
              <w:t>±</w:t>
            </w:r>
            <w:r>
              <w:rPr>
                <w:sz w:val="18"/>
              </w:rPr>
              <w:t>20</w:t>
            </w:r>
            <w:r>
              <w:rPr>
                <w:rFonts w:hint="eastAsia"/>
                <w:sz w:val="18"/>
              </w:rPr>
              <w:t xml:space="preserve"> m</w:t>
            </w:r>
            <w:r>
              <w:rPr>
                <w:sz w:val="18"/>
              </w:rPr>
              <w:t>m</w:t>
            </w:r>
          </w:p>
        </w:tc>
      </w:tr>
      <w:tr w:rsidR="008B0BD0" w14:paraId="73BFF3F3" w14:textId="77777777">
        <w:trPr>
          <w:jc w:val="center"/>
        </w:trPr>
        <w:tc>
          <w:tcPr>
            <w:tcW w:w="885" w:type="dxa"/>
            <w:tcBorders>
              <w:left w:val="single" w:sz="8" w:space="0" w:color="auto"/>
            </w:tcBorders>
          </w:tcPr>
          <w:p w14:paraId="5E8F5B21" w14:textId="77777777" w:rsidR="008B0BD0" w:rsidRDefault="00000000">
            <w:pPr>
              <w:pStyle w:val="afffe"/>
              <w:ind w:firstLineChars="0" w:firstLine="0"/>
              <w:jc w:val="center"/>
              <w:rPr>
                <w:sz w:val="18"/>
              </w:rPr>
            </w:pPr>
            <w:r>
              <w:rPr>
                <w:rFonts w:hint="eastAsia"/>
                <w:sz w:val="18"/>
              </w:rPr>
              <w:t>6</w:t>
            </w:r>
          </w:p>
        </w:tc>
        <w:tc>
          <w:tcPr>
            <w:tcW w:w="2219" w:type="dxa"/>
          </w:tcPr>
          <w:p w14:paraId="3CA7D908" w14:textId="77777777" w:rsidR="008B0BD0" w:rsidRDefault="00000000">
            <w:pPr>
              <w:pStyle w:val="afffe"/>
              <w:ind w:firstLineChars="0" w:firstLine="0"/>
              <w:jc w:val="center"/>
              <w:rPr>
                <w:sz w:val="18"/>
              </w:rPr>
            </w:pPr>
            <w:r>
              <w:rPr>
                <w:rFonts w:hint="eastAsia"/>
                <w:sz w:val="18"/>
              </w:rPr>
              <w:t>柱端面倾斜</w:t>
            </w:r>
          </w:p>
        </w:tc>
        <w:tc>
          <w:tcPr>
            <w:tcW w:w="2742" w:type="dxa"/>
            <w:tcBorders>
              <w:right w:val="single" w:sz="8" w:space="0" w:color="auto"/>
            </w:tcBorders>
          </w:tcPr>
          <w:p w14:paraId="0E3DCBCB" w14:textId="77777777" w:rsidR="008B0BD0" w:rsidRDefault="00000000">
            <w:pPr>
              <w:pStyle w:val="afffe"/>
              <w:ind w:firstLineChars="0" w:firstLine="0"/>
              <w:jc w:val="center"/>
              <w:rPr>
                <w:sz w:val="18"/>
              </w:rPr>
            </w:pPr>
            <w:r>
              <w:rPr>
                <w:rFonts w:hint="eastAsia"/>
                <w:sz w:val="18"/>
              </w:rPr>
              <w:t>±</w:t>
            </w:r>
            <w:r>
              <w:rPr>
                <w:sz w:val="18"/>
              </w:rPr>
              <w:t>10</w:t>
            </w:r>
            <w:r>
              <w:rPr>
                <w:rFonts w:hint="eastAsia"/>
                <w:sz w:val="18"/>
              </w:rPr>
              <w:t xml:space="preserve"> m</w:t>
            </w:r>
            <w:r>
              <w:rPr>
                <w:sz w:val="18"/>
              </w:rPr>
              <w:t>m</w:t>
            </w:r>
          </w:p>
        </w:tc>
      </w:tr>
      <w:tr w:rsidR="008B0BD0" w14:paraId="1035A33F" w14:textId="77777777">
        <w:trPr>
          <w:jc w:val="center"/>
        </w:trPr>
        <w:tc>
          <w:tcPr>
            <w:tcW w:w="885" w:type="dxa"/>
            <w:tcBorders>
              <w:left w:val="single" w:sz="8" w:space="0" w:color="auto"/>
              <w:bottom w:val="single" w:sz="8" w:space="0" w:color="auto"/>
            </w:tcBorders>
          </w:tcPr>
          <w:p w14:paraId="25FE9CE0" w14:textId="77777777" w:rsidR="008B0BD0" w:rsidRDefault="00000000">
            <w:pPr>
              <w:pStyle w:val="afffe"/>
              <w:ind w:firstLineChars="0" w:firstLine="0"/>
              <w:jc w:val="center"/>
              <w:rPr>
                <w:sz w:val="18"/>
              </w:rPr>
            </w:pPr>
            <w:r>
              <w:rPr>
                <w:rFonts w:hint="eastAsia"/>
                <w:sz w:val="18"/>
              </w:rPr>
              <w:t>7</w:t>
            </w:r>
          </w:p>
        </w:tc>
        <w:tc>
          <w:tcPr>
            <w:tcW w:w="2219" w:type="dxa"/>
            <w:tcBorders>
              <w:bottom w:val="single" w:sz="8" w:space="0" w:color="auto"/>
            </w:tcBorders>
          </w:tcPr>
          <w:p w14:paraId="33D510EC" w14:textId="77777777" w:rsidR="008B0BD0" w:rsidRDefault="00000000">
            <w:pPr>
              <w:pStyle w:val="afffe"/>
              <w:ind w:firstLineChars="0" w:firstLine="0"/>
              <w:jc w:val="center"/>
              <w:rPr>
                <w:sz w:val="18"/>
              </w:rPr>
            </w:pPr>
            <w:r>
              <w:rPr>
                <w:rFonts w:hint="eastAsia"/>
                <w:sz w:val="18"/>
              </w:rPr>
              <w:t>柱节长度</w:t>
            </w:r>
          </w:p>
        </w:tc>
        <w:tc>
          <w:tcPr>
            <w:tcW w:w="2742" w:type="dxa"/>
            <w:tcBorders>
              <w:bottom w:val="single" w:sz="8" w:space="0" w:color="auto"/>
              <w:right w:val="single" w:sz="8" w:space="0" w:color="auto"/>
            </w:tcBorders>
          </w:tcPr>
          <w:p w14:paraId="0FF6F585" w14:textId="77777777" w:rsidR="008B0BD0" w:rsidRDefault="00000000">
            <w:pPr>
              <w:pStyle w:val="afffe"/>
              <w:ind w:firstLineChars="0" w:firstLine="0"/>
              <w:jc w:val="center"/>
              <w:rPr>
                <w:sz w:val="18"/>
              </w:rPr>
            </w:pPr>
            <w:r>
              <w:rPr>
                <w:rFonts w:hint="eastAsia"/>
                <w:sz w:val="18"/>
              </w:rPr>
              <w:t>±5 m</w:t>
            </w:r>
            <w:r>
              <w:rPr>
                <w:sz w:val="18"/>
              </w:rPr>
              <w:t>m</w:t>
            </w:r>
          </w:p>
        </w:tc>
      </w:tr>
    </w:tbl>
    <w:p w14:paraId="74C456A4" w14:textId="77777777" w:rsidR="008B0BD0" w:rsidRDefault="00000000">
      <w:pPr>
        <w:pStyle w:val="affffffe"/>
      </w:pPr>
      <w:bookmarkStart w:id="98" w:name="_Toc167100763"/>
      <w:bookmarkStart w:id="99" w:name="_Toc193287391"/>
      <w:r>
        <w:rPr>
          <w:rFonts w:hint="eastAsia"/>
        </w:rPr>
        <w:t>预制芯柱和立柱桩施工验收</w:t>
      </w:r>
      <w:bookmarkEnd w:id="98"/>
      <w:bookmarkEnd w:id="99"/>
    </w:p>
    <w:p w14:paraId="2B3CB89B" w14:textId="77777777" w:rsidR="008B0BD0" w:rsidRDefault="00000000">
      <w:pPr>
        <w:pStyle w:val="a6"/>
      </w:pPr>
      <w:r>
        <w:rPr>
          <w:rFonts w:hint="eastAsia"/>
        </w:rPr>
        <w:t>预制芯柱和立柱桩验收除应符合JGJ 94的规定外，还应将立柱桩的钢筋</w:t>
      </w:r>
      <w:proofErr w:type="gramStart"/>
      <w:r>
        <w:rPr>
          <w:rFonts w:hint="eastAsia"/>
        </w:rPr>
        <w:t>笼</w:t>
      </w:r>
      <w:proofErr w:type="gramEnd"/>
      <w:r>
        <w:rPr>
          <w:rFonts w:hint="eastAsia"/>
        </w:rPr>
        <w:t>验收、预制芯柱安装列为主控项目。</w:t>
      </w:r>
    </w:p>
    <w:p w14:paraId="5382E2DB" w14:textId="77777777" w:rsidR="008B0BD0" w:rsidRDefault="00000000">
      <w:pPr>
        <w:pStyle w:val="a6"/>
      </w:pPr>
      <w:r>
        <w:rPr>
          <w:rFonts w:hint="eastAsia"/>
        </w:rPr>
        <w:t>立柱桩的钢筋</w:t>
      </w:r>
      <w:proofErr w:type="gramStart"/>
      <w:r>
        <w:rPr>
          <w:rFonts w:hint="eastAsia"/>
        </w:rPr>
        <w:t>笼</w:t>
      </w:r>
      <w:proofErr w:type="gramEnd"/>
      <w:r>
        <w:rPr>
          <w:rFonts w:hint="eastAsia"/>
        </w:rPr>
        <w:t>验收应按表4的要求，全数检查。</w:t>
      </w:r>
    </w:p>
    <w:p w14:paraId="5F45CF83" w14:textId="77777777" w:rsidR="008B0BD0" w:rsidRDefault="00000000">
      <w:pPr>
        <w:pStyle w:val="af7"/>
      </w:pPr>
      <w:r>
        <w:rPr>
          <w:rFonts w:hint="eastAsia"/>
        </w:rPr>
        <w:t>钢筋</w:t>
      </w:r>
      <w:proofErr w:type="gramStart"/>
      <w:r>
        <w:rPr>
          <w:rFonts w:hint="eastAsia"/>
        </w:rPr>
        <w:t>笼</w:t>
      </w:r>
      <w:proofErr w:type="gramEnd"/>
      <w:r>
        <w:rPr>
          <w:rFonts w:hint="eastAsia"/>
        </w:rPr>
        <w:t>制作允许偏差</w:t>
      </w:r>
    </w:p>
    <w:tbl>
      <w:tblPr>
        <w:tblStyle w:val="afff7"/>
        <w:tblW w:w="4264" w:type="dxa"/>
        <w:jc w:val="center"/>
        <w:tblLayout w:type="fixed"/>
        <w:tblLook w:val="04A0" w:firstRow="1" w:lastRow="0" w:firstColumn="1" w:lastColumn="0" w:noHBand="0" w:noVBand="1"/>
      </w:tblPr>
      <w:tblGrid>
        <w:gridCol w:w="2229"/>
        <w:gridCol w:w="2035"/>
      </w:tblGrid>
      <w:tr w:rsidR="008B0BD0" w14:paraId="6D1211F7" w14:textId="77777777">
        <w:trPr>
          <w:jc w:val="center"/>
        </w:trPr>
        <w:tc>
          <w:tcPr>
            <w:tcW w:w="2229" w:type="dxa"/>
            <w:tcBorders>
              <w:top w:val="single" w:sz="8" w:space="0" w:color="auto"/>
              <w:left w:val="single" w:sz="8" w:space="0" w:color="auto"/>
              <w:bottom w:val="single" w:sz="8" w:space="0" w:color="auto"/>
            </w:tcBorders>
          </w:tcPr>
          <w:p w14:paraId="1436BA45" w14:textId="77777777" w:rsidR="008B0BD0" w:rsidRDefault="00000000">
            <w:pPr>
              <w:pStyle w:val="afffe"/>
              <w:ind w:firstLineChars="0" w:firstLine="0"/>
              <w:jc w:val="center"/>
              <w:rPr>
                <w:rFonts w:ascii="Times New Roman"/>
                <w:sz w:val="18"/>
              </w:rPr>
            </w:pPr>
            <w:r>
              <w:rPr>
                <w:rFonts w:ascii="Times New Roman" w:hint="eastAsia"/>
                <w:sz w:val="18"/>
              </w:rPr>
              <w:t>项目</w:t>
            </w:r>
          </w:p>
        </w:tc>
        <w:tc>
          <w:tcPr>
            <w:tcW w:w="2035" w:type="dxa"/>
            <w:tcBorders>
              <w:top w:val="single" w:sz="8" w:space="0" w:color="auto"/>
              <w:bottom w:val="single" w:sz="8" w:space="0" w:color="auto"/>
              <w:right w:val="single" w:sz="8" w:space="0" w:color="auto"/>
            </w:tcBorders>
          </w:tcPr>
          <w:p w14:paraId="1294AF34" w14:textId="77777777" w:rsidR="008B0BD0" w:rsidRDefault="00000000">
            <w:pPr>
              <w:pStyle w:val="afffe"/>
              <w:ind w:firstLineChars="0" w:firstLine="0"/>
              <w:jc w:val="center"/>
              <w:rPr>
                <w:rFonts w:ascii="Times New Roman"/>
                <w:sz w:val="18"/>
              </w:rPr>
            </w:pPr>
            <w:r>
              <w:rPr>
                <w:rFonts w:ascii="Times New Roman" w:hint="eastAsia"/>
                <w:sz w:val="18"/>
              </w:rPr>
              <w:t>允许偏差（</w:t>
            </w:r>
            <w:r>
              <w:rPr>
                <w:rFonts w:ascii="Times New Roman" w:hint="eastAsia"/>
                <w:sz w:val="18"/>
              </w:rPr>
              <w:t>m</w:t>
            </w:r>
            <w:r>
              <w:rPr>
                <w:rFonts w:ascii="Times New Roman"/>
                <w:sz w:val="18"/>
              </w:rPr>
              <w:t>m</w:t>
            </w:r>
            <w:r>
              <w:rPr>
                <w:rFonts w:ascii="Times New Roman" w:hint="eastAsia"/>
                <w:sz w:val="18"/>
              </w:rPr>
              <w:t>）</w:t>
            </w:r>
          </w:p>
        </w:tc>
      </w:tr>
      <w:tr w:rsidR="008B0BD0" w14:paraId="67FB43CC" w14:textId="77777777">
        <w:trPr>
          <w:jc w:val="center"/>
        </w:trPr>
        <w:tc>
          <w:tcPr>
            <w:tcW w:w="2229" w:type="dxa"/>
            <w:tcBorders>
              <w:top w:val="single" w:sz="8" w:space="0" w:color="auto"/>
              <w:left w:val="single" w:sz="8" w:space="0" w:color="auto"/>
            </w:tcBorders>
          </w:tcPr>
          <w:p w14:paraId="694813C9" w14:textId="77777777" w:rsidR="008B0BD0" w:rsidRDefault="00000000">
            <w:pPr>
              <w:pStyle w:val="afffe"/>
              <w:ind w:firstLineChars="0" w:firstLine="0"/>
              <w:jc w:val="center"/>
              <w:rPr>
                <w:rFonts w:ascii="Times New Roman"/>
                <w:sz w:val="18"/>
              </w:rPr>
            </w:pPr>
            <w:r>
              <w:rPr>
                <w:rFonts w:ascii="Times New Roman" w:hint="eastAsia"/>
                <w:sz w:val="18"/>
              </w:rPr>
              <w:t>主筋间距</w:t>
            </w:r>
          </w:p>
        </w:tc>
        <w:tc>
          <w:tcPr>
            <w:tcW w:w="2035" w:type="dxa"/>
            <w:tcBorders>
              <w:top w:val="single" w:sz="8" w:space="0" w:color="auto"/>
              <w:right w:val="single" w:sz="8" w:space="0" w:color="auto"/>
            </w:tcBorders>
          </w:tcPr>
          <w:p w14:paraId="0D2BE4F5" w14:textId="77777777" w:rsidR="008B0BD0" w:rsidRDefault="00000000">
            <w:pPr>
              <w:pStyle w:val="afffe"/>
              <w:ind w:firstLineChars="0" w:firstLine="0"/>
              <w:jc w:val="center"/>
              <w:rPr>
                <w:rFonts w:ascii="Times New Roman"/>
                <w:sz w:val="18"/>
              </w:rPr>
            </w:pPr>
            <w:r>
              <w:rPr>
                <w:rFonts w:ascii="Times New Roman" w:hint="eastAsia"/>
                <w:sz w:val="18"/>
              </w:rPr>
              <w:t>±</w:t>
            </w:r>
            <w:r>
              <w:rPr>
                <w:rFonts w:ascii="Times New Roman" w:hint="eastAsia"/>
                <w:sz w:val="18"/>
              </w:rPr>
              <w:t>1</w:t>
            </w:r>
            <w:r>
              <w:rPr>
                <w:rFonts w:ascii="Times New Roman"/>
                <w:sz w:val="18"/>
              </w:rPr>
              <w:t>0</w:t>
            </w:r>
          </w:p>
        </w:tc>
      </w:tr>
      <w:tr w:rsidR="008B0BD0" w14:paraId="5470CA66" w14:textId="77777777">
        <w:trPr>
          <w:jc w:val="center"/>
        </w:trPr>
        <w:tc>
          <w:tcPr>
            <w:tcW w:w="2229" w:type="dxa"/>
            <w:tcBorders>
              <w:left w:val="single" w:sz="8" w:space="0" w:color="auto"/>
            </w:tcBorders>
          </w:tcPr>
          <w:p w14:paraId="2D64DD2D" w14:textId="77777777" w:rsidR="008B0BD0" w:rsidRDefault="00000000">
            <w:pPr>
              <w:pStyle w:val="afffe"/>
              <w:ind w:firstLineChars="0" w:firstLine="0"/>
              <w:jc w:val="center"/>
              <w:rPr>
                <w:rFonts w:ascii="Times New Roman"/>
                <w:sz w:val="18"/>
              </w:rPr>
            </w:pPr>
            <w:r>
              <w:rPr>
                <w:rFonts w:ascii="Times New Roman" w:hint="eastAsia"/>
                <w:sz w:val="18"/>
              </w:rPr>
              <w:t>箍筋间距</w:t>
            </w:r>
          </w:p>
        </w:tc>
        <w:tc>
          <w:tcPr>
            <w:tcW w:w="2035" w:type="dxa"/>
            <w:tcBorders>
              <w:right w:val="single" w:sz="8" w:space="0" w:color="auto"/>
            </w:tcBorders>
          </w:tcPr>
          <w:p w14:paraId="1185C8B0" w14:textId="77777777" w:rsidR="008B0BD0" w:rsidRDefault="00000000">
            <w:pPr>
              <w:pStyle w:val="afffe"/>
              <w:ind w:firstLineChars="0" w:firstLine="0"/>
              <w:jc w:val="center"/>
              <w:rPr>
                <w:rFonts w:ascii="Times New Roman"/>
                <w:sz w:val="18"/>
              </w:rPr>
            </w:pPr>
            <w:r>
              <w:rPr>
                <w:rFonts w:ascii="Times New Roman" w:hint="eastAsia"/>
                <w:sz w:val="18"/>
              </w:rPr>
              <w:t>±</w:t>
            </w:r>
            <w:r>
              <w:rPr>
                <w:rFonts w:ascii="Times New Roman"/>
                <w:sz w:val="18"/>
              </w:rPr>
              <w:t>20</w:t>
            </w:r>
          </w:p>
        </w:tc>
      </w:tr>
      <w:tr w:rsidR="008B0BD0" w14:paraId="12C85D3A" w14:textId="77777777">
        <w:trPr>
          <w:jc w:val="center"/>
        </w:trPr>
        <w:tc>
          <w:tcPr>
            <w:tcW w:w="2229" w:type="dxa"/>
            <w:tcBorders>
              <w:left w:val="single" w:sz="8" w:space="0" w:color="auto"/>
            </w:tcBorders>
          </w:tcPr>
          <w:p w14:paraId="06118951" w14:textId="77777777" w:rsidR="008B0BD0" w:rsidRDefault="00000000">
            <w:pPr>
              <w:pStyle w:val="afffe"/>
              <w:ind w:firstLineChars="0" w:firstLine="0"/>
              <w:jc w:val="center"/>
              <w:rPr>
                <w:rFonts w:ascii="Times New Roman"/>
                <w:sz w:val="18"/>
              </w:rPr>
            </w:pPr>
            <w:r>
              <w:rPr>
                <w:rFonts w:ascii="Times New Roman" w:hint="eastAsia"/>
                <w:sz w:val="18"/>
              </w:rPr>
              <w:t>钢筋</w:t>
            </w:r>
            <w:proofErr w:type="gramStart"/>
            <w:r>
              <w:rPr>
                <w:rFonts w:ascii="Times New Roman" w:hint="eastAsia"/>
                <w:sz w:val="18"/>
              </w:rPr>
              <w:t>笼</w:t>
            </w:r>
            <w:proofErr w:type="gramEnd"/>
            <w:r>
              <w:rPr>
                <w:rFonts w:ascii="Times New Roman" w:hint="eastAsia"/>
                <w:sz w:val="18"/>
              </w:rPr>
              <w:t>直径</w:t>
            </w:r>
          </w:p>
        </w:tc>
        <w:tc>
          <w:tcPr>
            <w:tcW w:w="2035" w:type="dxa"/>
            <w:tcBorders>
              <w:right w:val="single" w:sz="8" w:space="0" w:color="auto"/>
            </w:tcBorders>
          </w:tcPr>
          <w:p w14:paraId="69CDAF3B" w14:textId="77777777" w:rsidR="008B0BD0" w:rsidRDefault="00000000">
            <w:pPr>
              <w:pStyle w:val="afffe"/>
              <w:ind w:firstLineChars="0" w:firstLine="0"/>
              <w:jc w:val="center"/>
              <w:rPr>
                <w:rFonts w:ascii="Times New Roman"/>
                <w:sz w:val="18"/>
              </w:rPr>
            </w:pPr>
            <w:r>
              <w:rPr>
                <w:rFonts w:ascii="Times New Roman" w:hint="eastAsia"/>
                <w:sz w:val="18"/>
              </w:rPr>
              <w:t>±</w:t>
            </w:r>
            <w:r>
              <w:rPr>
                <w:rFonts w:ascii="Times New Roman" w:hint="eastAsia"/>
                <w:sz w:val="18"/>
              </w:rPr>
              <w:t>1</w:t>
            </w:r>
            <w:r>
              <w:rPr>
                <w:rFonts w:ascii="Times New Roman"/>
                <w:sz w:val="18"/>
              </w:rPr>
              <w:t>0</w:t>
            </w:r>
          </w:p>
        </w:tc>
      </w:tr>
      <w:tr w:rsidR="008B0BD0" w14:paraId="0163947E" w14:textId="77777777">
        <w:trPr>
          <w:jc w:val="center"/>
        </w:trPr>
        <w:tc>
          <w:tcPr>
            <w:tcW w:w="2229" w:type="dxa"/>
            <w:tcBorders>
              <w:left w:val="single" w:sz="8" w:space="0" w:color="auto"/>
              <w:bottom w:val="single" w:sz="8" w:space="0" w:color="auto"/>
            </w:tcBorders>
          </w:tcPr>
          <w:p w14:paraId="2BAD380A" w14:textId="77777777" w:rsidR="008B0BD0" w:rsidRDefault="00000000">
            <w:pPr>
              <w:pStyle w:val="afffe"/>
              <w:ind w:firstLineChars="0" w:firstLine="0"/>
              <w:jc w:val="center"/>
              <w:rPr>
                <w:rFonts w:ascii="Times New Roman"/>
                <w:sz w:val="18"/>
              </w:rPr>
            </w:pPr>
            <w:r>
              <w:rPr>
                <w:rFonts w:ascii="Times New Roman" w:hint="eastAsia"/>
                <w:sz w:val="18"/>
              </w:rPr>
              <w:t>钢筋</w:t>
            </w:r>
            <w:proofErr w:type="gramStart"/>
            <w:r>
              <w:rPr>
                <w:rFonts w:ascii="Times New Roman" w:hint="eastAsia"/>
                <w:sz w:val="18"/>
              </w:rPr>
              <w:t>笼</w:t>
            </w:r>
            <w:proofErr w:type="gramEnd"/>
            <w:r>
              <w:rPr>
                <w:rFonts w:ascii="Times New Roman" w:hint="eastAsia"/>
                <w:sz w:val="18"/>
              </w:rPr>
              <w:t>长度</w:t>
            </w:r>
          </w:p>
        </w:tc>
        <w:tc>
          <w:tcPr>
            <w:tcW w:w="2035" w:type="dxa"/>
            <w:tcBorders>
              <w:bottom w:val="single" w:sz="8" w:space="0" w:color="auto"/>
              <w:right w:val="single" w:sz="8" w:space="0" w:color="auto"/>
            </w:tcBorders>
          </w:tcPr>
          <w:p w14:paraId="2F4B936D" w14:textId="77777777" w:rsidR="008B0BD0" w:rsidRDefault="00000000">
            <w:pPr>
              <w:pStyle w:val="afffe"/>
              <w:ind w:firstLineChars="0" w:firstLine="0"/>
              <w:jc w:val="center"/>
              <w:rPr>
                <w:rFonts w:ascii="Times New Roman"/>
                <w:sz w:val="18"/>
              </w:rPr>
            </w:pPr>
            <w:r>
              <w:rPr>
                <w:rFonts w:ascii="Times New Roman" w:hint="eastAsia"/>
                <w:sz w:val="18"/>
              </w:rPr>
              <w:t>±</w:t>
            </w:r>
            <w:r>
              <w:rPr>
                <w:rFonts w:ascii="Times New Roman" w:hint="eastAsia"/>
                <w:sz w:val="18"/>
              </w:rPr>
              <w:t>1</w:t>
            </w:r>
            <w:r>
              <w:rPr>
                <w:rFonts w:ascii="Times New Roman"/>
                <w:sz w:val="18"/>
              </w:rPr>
              <w:t>00</w:t>
            </w:r>
          </w:p>
        </w:tc>
      </w:tr>
    </w:tbl>
    <w:p w14:paraId="64445BB8" w14:textId="77777777" w:rsidR="008B0BD0" w:rsidRDefault="00000000">
      <w:pPr>
        <w:pStyle w:val="a6"/>
      </w:pPr>
      <w:r>
        <w:rPr>
          <w:rFonts w:hint="eastAsia"/>
        </w:rPr>
        <w:t>预制芯柱的安装验收应按表5的要求，全数检查。</w:t>
      </w:r>
    </w:p>
    <w:p w14:paraId="2D7F99A8" w14:textId="77777777" w:rsidR="008B0BD0" w:rsidRDefault="00000000">
      <w:pPr>
        <w:pStyle w:val="af7"/>
      </w:pPr>
      <w:r>
        <w:rPr>
          <w:rFonts w:hint="eastAsia"/>
        </w:rPr>
        <w:lastRenderedPageBreak/>
        <w:t>预制芯柱安装允许误差</w:t>
      </w:r>
    </w:p>
    <w:tbl>
      <w:tblPr>
        <w:tblW w:w="5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542"/>
        <w:gridCol w:w="3192"/>
      </w:tblGrid>
      <w:tr w:rsidR="008B0BD0" w14:paraId="19782431" w14:textId="77777777">
        <w:trPr>
          <w:trHeight w:val="340"/>
          <w:jc w:val="center"/>
        </w:trPr>
        <w:tc>
          <w:tcPr>
            <w:tcW w:w="664" w:type="dxa"/>
            <w:tcBorders>
              <w:top w:val="single" w:sz="8" w:space="0" w:color="auto"/>
              <w:left w:val="single" w:sz="8" w:space="0" w:color="auto"/>
              <w:bottom w:val="single" w:sz="8" w:space="0" w:color="auto"/>
              <w:right w:val="single" w:sz="4" w:space="0" w:color="auto"/>
            </w:tcBorders>
            <w:vAlign w:val="center"/>
          </w:tcPr>
          <w:p w14:paraId="133691FC" w14:textId="77777777" w:rsidR="008B0BD0" w:rsidRDefault="00000000">
            <w:pPr>
              <w:adjustRightInd w:val="0"/>
              <w:snapToGrid w:val="0"/>
              <w:jc w:val="center"/>
              <w:rPr>
                <w:rFonts w:ascii="Times New Roman" w:eastAsia="宋体" w:hAnsi="Times New Roman"/>
                <w:sz w:val="18"/>
                <w:szCs w:val="18"/>
              </w:rPr>
            </w:pPr>
            <w:r>
              <w:rPr>
                <w:rFonts w:ascii="Times New Roman" w:eastAsia="宋体" w:hAnsi="Times New Roman" w:hint="eastAsia"/>
                <w:sz w:val="18"/>
                <w:szCs w:val="18"/>
              </w:rPr>
              <w:t>序号</w:t>
            </w:r>
          </w:p>
        </w:tc>
        <w:tc>
          <w:tcPr>
            <w:tcW w:w="1542" w:type="dxa"/>
            <w:tcBorders>
              <w:top w:val="single" w:sz="8" w:space="0" w:color="auto"/>
              <w:left w:val="single" w:sz="4" w:space="0" w:color="auto"/>
              <w:bottom w:val="single" w:sz="8" w:space="0" w:color="auto"/>
              <w:right w:val="single" w:sz="4" w:space="0" w:color="auto"/>
            </w:tcBorders>
            <w:vAlign w:val="center"/>
          </w:tcPr>
          <w:p w14:paraId="2F8B1CC2" w14:textId="77777777" w:rsidR="008B0BD0" w:rsidRDefault="00000000">
            <w:pPr>
              <w:adjustRightInd w:val="0"/>
              <w:snapToGrid w:val="0"/>
              <w:jc w:val="center"/>
              <w:rPr>
                <w:rFonts w:ascii="Times New Roman" w:eastAsia="宋体" w:hAnsi="Times New Roman"/>
                <w:sz w:val="18"/>
                <w:szCs w:val="18"/>
              </w:rPr>
            </w:pPr>
            <w:r>
              <w:rPr>
                <w:rFonts w:ascii="Times New Roman" w:eastAsia="宋体" w:hAnsi="Times New Roman" w:hint="eastAsia"/>
                <w:sz w:val="18"/>
                <w:szCs w:val="18"/>
              </w:rPr>
              <w:t>项目</w:t>
            </w:r>
          </w:p>
        </w:tc>
        <w:tc>
          <w:tcPr>
            <w:tcW w:w="3192" w:type="dxa"/>
            <w:tcBorders>
              <w:top w:val="single" w:sz="8" w:space="0" w:color="auto"/>
              <w:left w:val="single" w:sz="4" w:space="0" w:color="auto"/>
              <w:bottom w:val="single" w:sz="8" w:space="0" w:color="auto"/>
              <w:right w:val="single" w:sz="8" w:space="0" w:color="auto"/>
            </w:tcBorders>
            <w:vAlign w:val="center"/>
          </w:tcPr>
          <w:p w14:paraId="06DAF866" w14:textId="77777777" w:rsidR="008B0BD0" w:rsidRDefault="00000000">
            <w:pPr>
              <w:adjustRightInd w:val="0"/>
              <w:snapToGrid w:val="0"/>
              <w:jc w:val="center"/>
              <w:rPr>
                <w:rFonts w:ascii="Times New Roman" w:eastAsia="宋体" w:hAnsi="Times New Roman"/>
                <w:sz w:val="18"/>
                <w:szCs w:val="18"/>
              </w:rPr>
            </w:pPr>
            <w:r>
              <w:rPr>
                <w:rFonts w:ascii="Times New Roman" w:eastAsia="宋体" w:hAnsi="Times New Roman" w:hint="eastAsia"/>
                <w:sz w:val="18"/>
                <w:szCs w:val="18"/>
              </w:rPr>
              <w:t>允许偏差</w:t>
            </w:r>
          </w:p>
        </w:tc>
      </w:tr>
      <w:tr w:rsidR="008B0BD0" w14:paraId="39EF9DED" w14:textId="77777777">
        <w:trPr>
          <w:cantSplit/>
          <w:trHeight w:val="211"/>
          <w:jc w:val="center"/>
        </w:trPr>
        <w:tc>
          <w:tcPr>
            <w:tcW w:w="664" w:type="dxa"/>
            <w:tcBorders>
              <w:top w:val="single" w:sz="8" w:space="0" w:color="auto"/>
              <w:left w:val="single" w:sz="8" w:space="0" w:color="auto"/>
              <w:bottom w:val="single" w:sz="4" w:space="0" w:color="auto"/>
              <w:right w:val="single" w:sz="4" w:space="0" w:color="auto"/>
            </w:tcBorders>
            <w:vAlign w:val="center"/>
          </w:tcPr>
          <w:p w14:paraId="31113C0D" w14:textId="77777777" w:rsidR="008B0BD0" w:rsidRDefault="00000000">
            <w:pPr>
              <w:adjustRightInd w:val="0"/>
              <w:snapToGrid w:val="0"/>
              <w:jc w:val="center"/>
              <w:rPr>
                <w:rFonts w:ascii="Times New Roman" w:eastAsia="宋体" w:hAnsi="Times New Roman"/>
                <w:sz w:val="18"/>
                <w:szCs w:val="18"/>
              </w:rPr>
            </w:pPr>
            <w:r>
              <w:rPr>
                <w:rFonts w:ascii="Times New Roman" w:eastAsia="宋体" w:hAnsi="Times New Roman" w:hint="eastAsia"/>
                <w:sz w:val="18"/>
                <w:szCs w:val="18"/>
              </w:rPr>
              <w:t>1</w:t>
            </w:r>
          </w:p>
        </w:tc>
        <w:tc>
          <w:tcPr>
            <w:tcW w:w="1542" w:type="dxa"/>
            <w:tcBorders>
              <w:top w:val="single" w:sz="8" w:space="0" w:color="auto"/>
              <w:left w:val="single" w:sz="4" w:space="0" w:color="auto"/>
              <w:bottom w:val="single" w:sz="4" w:space="0" w:color="auto"/>
              <w:right w:val="single" w:sz="4" w:space="0" w:color="auto"/>
            </w:tcBorders>
            <w:vAlign w:val="center"/>
          </w:tcPr>
          <w:p w14:paraId="7D3986CD" w14:textId="77777777" w:rsidR="008B0BD0" w:rsidRDefault="00000000">
            <w:pPr>
              <w:adjustRightInd w:val="0"/>
              <w:snapToGrid w:val="0"/>
              <w:jc w:val="center"/>
              <w:rPr>
                <w:rFonts w:ascii="Times New Roman" w:eastAsia="宋体" w:hAnsi="Times New Roman"/>
                <w:sz w:val="18"/>
                <w:szCs w:val="18"/>
              </w:rPr>
            </w:pPr>
            <w:r>
              <w:rPr>
                <w:rFonts w:ascii="Times New Roman" w:eastAsia="宋体" w:hAnsi="Times New Roman" w:hint="eastAsia"/>
                <w:sz w:val="18"/>
                <w:szCs w:val="18"/>
              </w:rPr>
              <w:t>平面位置</w:t>
            </w:r>
          </w:p>
        </w:tc>
        <w:tc>
          <w:tcPr>
            <w:tcW w:w="3192" w:type="dxa"/>
            <w:tcBorders>
              <w:top w:val="single" w:sz="8" w:space="0" w:color="auto"/>
              <w:left w:val="single" w:sz="4" w:space="0" w:color="auto"/>
              <w:bottom w:val="single" w:sz="4" w:space="0" w:color="auto"/>
              <w:right w:val="single" w:sz="8" w:space="0" w:color="auto"/>
            </w:tcBorders>
            <w:vAlign w:val="center"/>
          </w:tcPr>
          <w:p w14:paraId="22F55CA3" w14:textId="77777777" w:rsidR="008B0BD0" w:rsidRDefault="00000000">
            <w:pPr>
              <w:adjustRightInd w:val="0"/>
              <w:snapToGrid w:val="0"/>
              <w:jc w:val="center"/>
              <w:rPr>
                <w:rFonts w:ascii="宋体" w:eastAsia="宋体" w:hAnsi="宋体" w:hint="eastAsia"/>
                <w:sz w:val="18"/>
                <w:szCs w:val="18"/>
              </w:rPr>
            </w:pPr>
            <w:r>
              <w:rPr>
                <w:rFonts w:ascii="宋体" w:eastAsia="宋体" w:hAnsi="宋体" w:hint="eastAsia"/>
                <w:sz w:val="18"/>
                <w:szCs w:val="18"/>
              </w:rPr>
              <w:t>±</w:t>
            </w:r>
            <w:r>
              <w:rPr>
                <w:rFonts w:ascii="宋体" w:eastAsia="宋体" w:hAnsi="宋体"/>
                <w:sz w:val="18"/>
                <w:szCs w:val="18"/>
              </w:rPr>
              <w:t>10 mm</w:t>
            </w:r>
          </w:p>
        </w:tc>
      </w:tr>
      <w:tr w:rsidR="008B0BD0" w14:paraId="49A2E112" w14:textId="77777777">
        <w:trPr>
          <w:cantSplit/>
          <w:trHeight w:val="243"/>
          <w:jc w:val="center"/>
        </w:trPr>
        <w:tc>
          <w:tcPr>
            <w:tcW w:w="664" w:type="dxa"/>
            <w:tcBorders>
              <w:top w:val="single" w:sz="4" w:space="0" w:color="auto"/>
              <w:left w:val="single" w:sz="8" w:space="0" w:color="auto"/>
              <w:bottom w:val="single" w:sz="4" w:space="0" w:color="auto"/>
              <w:right w:val="single" w:sz="4" w:space="0" w:color="auto"/>
            </w:tcBorders>
            <w:vAlign w:val="center"/>
          </w:tcPr>
          <w:p w14:paraId="388A563A" w14:textId="77777777" w:rsidR="008B0BD0" w:rsidRDefault="00000000">
            <w:pPr>
              <w:adjustRightInd w:val="0"/>
              <w:snapToGrid w:val="0"/>
              <w:jc w:val="center"/>
              <w:rPr>
                <w:rFonts w:ascii="Times New Roman" w:eastAsia="宋体" w:hAnsi="Times New Roman"/>
                <w:sz w:val="18"/>
                <w:szCs w:val="18"/>
              </w:rPr>
            </w:pPr>
            <w:r>
              <w:rPr>
                <w:rFonts w:ascii="Times New Roman" w:eastAsia="宋体" w:hAnsi="Times New Roman" w:hint="eastAsia"/>
                <w:sz w:val="18"/>
                <w:szCs w:val="18"/>
              </w:rPr>
              <w:t>2</w:t>
            </w:r>
          </w:p>
        </w:tc>
        <w:tc>
          <w:tcPr>
            <w:tcW w:w="1542" w:type="dxa"/>
            <w:tcBorders>
              <w:top w:val="single" w:sz="4" w:space="0" w:color="auto"/>
              <w:left w:val="single" w:sz="4" w:space="0" w:color="auto"/>
              <w:bottom w:val="single" w:sz="4" w:space="0" w:color="auto"/>
              <w:right w:val="single" w:sz="4" w:space="0" w:color="auto"/>
            </w:tcBorders>
            <w:vAlign w:val="center"/>
          </w:tcPr>
          <w:p w14:paraId="2E1AD3B3" w14:textId="77777777" w:rsidR="008B0BD0" w:rsidRDefault="00000000">
            <w:pPr>
              <w:adjustRightInd w:val="0"/>
              <w:snapToGrid w:val="0"/>
              <w:jc w:val="center"/>
              <w:rPr>
                <w:rFonts w:ascii="Times New Roman" w:eastAsia="宋体" w:hAnsi="Times New Roman"/>
                <w:sz w:val="18"/>
                <w:szCs w:val="18"/>
              </w:rPr>
            </w:pPr>
            <w:r>
              <w:rPr>
                <w:rFonts w:ascii="Times New Roman" w:eastAsia="宋体" w:hAnsi="Times New Roman" w:hint="eastAsia"/>
                <w:sz w:val="18"/>
                <w:szCs w:val="18"/>
              </w:rPr>
              <w:t>标高</w:t>
            </w:r>
          </w:p>
        </w:tc>
        <w:tc>
          <w:tcPr>
            <w:tcW w:w="3192" w:type="dxa"/>
            <w:tcBorders>
              <w:top w:val="single" w:sz="4" w:space="0" w:color="auto"/>
              <w:left w:val="single" w:sz="4" w:space="0" w:color="auto"/>
              <w:bottom w:val="single" w:sz="4" w:space="0" w:color="auto"/>
              <w:right w:val="single" w:sz="8" w:space="0" w:color="auto"/>
            </w:tcBorders>
            <w:vAlign w:val="center"/>
          </w:tcPr>
          <w:p w14:paraId="563851B1" w14:textId="77777777" w:rsidR="008B0BD0" w:rsidRDefault="00000000">
            <w:pPr>
              <w:adjustRightInd w:val="0"/>
              <w:snapToGrid w:val="0"/>
              <w:jc w:val="center"/>
              <w:rPr>
                <w:rFonts w:ascii="宋体" w:eastAsia="宋体" w:hAnsi="宋体" w:hint="eastAsia"/>
                <w:sz w:val="18"/>
                <w:szCs w:val="18"/>
              </w:rPr>
            </w:pPr>
            <w:r>
              <w:rPr>
                <w:rFonts w:ascii="宋体" w:eastAsia="宋体" w:hAnsi="宋体" w:hint="eastAsia"/>
                <w:sz w:val="18"/>
                <w:szCs w:val="18"/>
              </w:rPr>
              <w:t>±</w:t>
            </w:r>
            <w:r>
              <w:rPr>
                <w:rFonts w:ascii="宋体" w:eastAsia="宋体" w:hAnsi="宋体"/>
                <w:sz w:val="18"/>
                <w:szCs w:val="18"/>
              </w:rPr>
              <w:t>h</w:t>
            </w:r>
          </w:p>
        </w:tc>
      </w:tr>
      <w:tr w:rsidR="008B0BD0" w14:paraId="38670D3E" w14:textId="77777777">
        <w:trPr>
          <w:cantSplit/>
          <w:trHeight w:val="105"/>
          <w:jc w:val="center"/>
        </w:trPr>
        <w:tc>
          <w:tcPr>
            <w:tcW w:w="664" w:type="dxa"/>
            <w:tcBorders>
              <w:top w:val="single" w:sz="4" w:space="0" w:color="auto"/>
              <w:left w:val="single" w:sz="8" w:space="0" w:color="auto"/>
              <w:bottom w:val="single" w:sz="4" w:space="0" w:color="auto"/>
              <w:right w:val="single" w:sz="4" w:space="0" w:color="auto"/>
            </w:tcBorders>
            <w:vAlign w:val="center"/>
          </w:tcPr>
          <w:p w14:paraId="08A14D5A" w14:textId="77777777" w:rsidR="008B0BD0" w:rsidRDefault="00000000">
            <w:pPr>
              <w:adjustRightInd w:val="0"/>
              <w:snapToGrid w:val="0"/>
              <w:jc w:val="center"/>
              <w:rPr>
                <w:rFonts w:ascii="Times New Roman" w:eastAsia="宋体" w:hAnsi="Times New Roman"/>
                <w:sz w:val="18"/>
                <w:szCs w:val="18"/>
              </w:rPr>
            </w:pPr>
            <w:r>
              <w:rPr>
                <w:rFonts w:ascii="Times New Roman" w:eastAsia="宋体" w:hAnsi="Times New Roman" w:hint="eastAsia"/>
                <w:sz w:val="18"/>
                <w:szCs w:val="18"/>
              </w:rPr>
              <w:t>3</w:t>
            </w:r>
          </w:p>
        </w:tc>
        <w:tc>
          <w:tcPr>
            <w:tcW w:w="1542" w:type="dxa"/>
            <w:tcBorders>
              <w:top w:val="single" w:sz="4" w:space="0" w:color="auto"/>
              <w:left w:val="single" w:sz="4" w:space="0" w:color="auto"/>
              <w:bottom w:val="single" w:sz="4" w:space="0" w:color="auto"/>
              <w:right w:val="single" w:sz="4" w:space="0" w:color="auto"/>
            </w:tcBorders>
            <w:vAlign w:val="center"/>
          </w:tcPr>
          <w:p w14:paraId="2F21390F" w14:textId="77777777" w:rsidR="008B0BD0" w:rsidRDefault="00000000">
            <w:pPr>
              <w:adjustRightInd w:val="0"/>
              <w:snapToGrid w:val="0"/>
              <w:jc w:val="center"/>
              <w:rPr>
                <w:rFonts w:ascii="Times New Roman" w:eastAsia="宋体" w:hAnsi="Times New Roman"/>
                <w:sz w:val="18"/>
                <w:szCs w:val="18"/>
              </w:rPr>
            </w:pPr>
            <w:r>
              <w:rPr>
                <w:rFonts w:ascii="Times New Roman" w:eastAsia="宋体" w:hAnsi="Times New Roman" w:hint="eastAsia"/>
                <w:sz w:val="18"/>
                <w:szCs w:val="18"/>
              </w:rPr>
              <w:t>垂直度</w:t>
            </w:r>
          </w:p>
        </w:tc>
        <w:tc>
          <w:tcPr>
            <w:tcW w:w="3192" w:type="dxa"/>
            <w:tcBorders>
              <w:top w:val="single" w:sz="4" w:space="0" w:color="auto"/>
              <w:left w:val="single" w:sz="4" w:space="0" w:color="auto"/>
              <w:bottom w:val="single" w:sz="4" w:space="0" w:color="auto"/>
              <w:right w:val="single" w:sz="8" w:space="0" w:color="auto"/>
            </w:tcBorders>
            <w:vAlign w:val="center"/>
          </w:tcPr>
          <w:p w14:paraId="2896B33E" w14:textId="77777777" w:rsidR="008B0BD0" w:rsidRDefault="00000000">
            <w:pPr>
              <w:adjustRightInd w:val="0"/>
              <w:snapToGrid w:val="0"/>
              <w:jc w:val="center"/>
              <w:rPr>
                <w:rFonts w:ascii="宋体" w:eastAsia="宋体" w:hAnsi="宋体" w:hint="eastAsia"/>
                <w:sz w:val="18"/>
                <w:szCs w:val="18"/>
              </w:rPr>
            </w:pPr>
            <w:r>
              <w:rPr>
                <w:rFonts w:ascii="宋体" w:eastAsia="宋体" w:hAnsi="宋体" w:hint="eastAsia"/>
                <w:sz w:val="18"/>
                <w:szCs w:val="18"/>
              </w:rPr>
              <w:t>1/</w:t>
            </w:r>
            <w:r>
              <w:rPr>
                <w:rFonts w:ascii="宋体" w:eastAsia="宋体" w:hAnsi="宋体"/>
                <w:sz w:val="18"/>
                <w:szCs w:val="18"/>
              </w:rPr>
              <w:t>300</w:t>
            </w:r>
          </w:p>
        </w:tc>
      </w:tr>
      <w:tr w:rsidR="008B0BD0" w14:paraId="188EEE4A" w14:textId="77777777">
        <w:trPr>
          <w:cantSplit/>
          <w:trHeight w:val="105"/>
          <w:jc w:val="center"/>
        </w:trPr>
        <w:tc>
          <w:tcPr>
            <w:tcW w:w="664" w:type="dxa"/>
            <w:tcBorders>
              <w:top w:val="single" w:sz="4" w:space="0" w:color="auto"/>
              <w:left w:val="single" w:sz="8" w:space="0" w:color="auto"/>
              <w:bottom w:val="single" w:sz="4" w:space="0" w:color="auto"/>
              <w:right w:val="single" w:sz="4" w:space="0" w:color="auto"/>
            </w:tcBorders>
            <w:vAlign w:val="center"/>
          </w:tcPr>
          <w:p w14:paraId="6473D472" w14:textId="77777777" w:rsidR="008B0BD0" w:rsidRDefault="00000000">
            <w:pPr>
              <w:adjustRightInd w:val="0"/>
              <w:snapToGrid w:val="0"/>
              <w:jc w:val="center"/>
              <w:rPr>
                <w:rFonts w:ascii="Times New Roman" w:eastAsia="宋体" w:hAnsi="Times New Roman"/>
                <w:sz w:val="18"/>
                <w:szCs w:val="18"/>
              </w:rPr>
            </w:pPr>
            <w:r>
              <w:rPr>
                <w:rFonts w:ascii="Times New Roman" w:eastAsia="宋体" w:hAnsi="Times New Roman" w:hint="eastAsia"/>
                <w:sz w:val="18"/>
                <w:szCs w:val="18"/>
              </w:rPr>
              <w:t>4</w:t>
            </w:r>
          </w:p>
        </w:tc>
        <w:tc>
          <w:tcPr>
            <w:tcW w:w="1542" w:type="dxa"/>
            <w:tcBorders>
              <w:top w:val="single" w:sz="4" w:space="0" w:color="auto"/>
              <w:left w:val="single" w:sz="4" w:space="0" w:color="auto"/>
              <w:bottom w:val="single" w:sz="4" w:space="0" w:color="auto"/>
              <w:right w:val="single" w:sz="4" w:space="0" w:color="auto"/>
            </w:tcBorders>
            <w:vAlign w:val="center"/>
          </w:tcPr>
          <w:p w14:paraId="4AA9F9D9" w14:textId="77777777" w:rsidR="008B0BD0" w:rsidRDefault="00000000">
            <w:pPr>
              <w:adjustRightInd w:val="0"/>
              <w:snapToGrid w:val="0"/>
              <w:jc w:val="center"/>
              <w:rPr>
                <w:rFonts w:ascii="Times New Roman" w:eastAsia="宋体" w:hAnsi="Times New Roman"/>
                <w:sz w:val="18"/>
                <w:szCs w:val="18"/>
              </w:rPr>
            </w:pPr>
            <w:r>
              <w:rPr>
                <w:rFonts w:ascii="Times New Roman" w:eastAsia="宋体" w:hAnsi="Times New Roman" w:hint="eastAsia"/>
                <w:sz w:val="18"/>
                <w:szCs w:val="18"/>
              </w:rPr>
              <w:t>转向</w:t>
            </w:r>
          </w:p>
        </w:tc>
        <w:tc>
          <w:tcPr>
            <w:tcW w:w="3192" w:type="dxa"/>
            <w:tcBorders>
              <w:top w:val="single" w:sz="4" w:space="0" w:color="auto"/>
              <w:left w:val="single" w:sz="4" w:space="0" w:color="auto"/>
              <w:bottom w:val="single" w:sz="4" w:space="0" w:color="auto"/>
              <w:right w:val="single" w:sz="8" w:space="0" w:color="auto"/>
            </w:tcBorders>
            <w:vAlign w:val="center"/>
          </w:tcPr>
          <w:p w14:paraId="75E2CAE7" w14:textId="77777777" w:rsidR="008B0BD0" w:rsidRDefault="00000000">
            <w:pPr>
              <w:adjustRightInd w:val="0"/>
              <w:snapToGrid w:val="0"/>
              <w:jc w:val="center"/>
              <w:rPr>
                <w:rFonts w:ascii="宋体" w:eastAsia="宋体" w:hAnsi="宋体" w:hint="eastAsia"/>
                <w:sz w:val="18"/>
                <w:szCs w:val="18"/>
              </w:rPr>
            </w:pPr>
            <w:r>
              <w:rPr>
                <w:rFonts w:ascii="宋体" w:eastAsia="宋体" w:hAnsi="宋体" w:hint="eastAsia"/>
                <w:sz w:val="18"/>
                <w:szCs w:val="18"/>
              </w:rPr>
              <w:t>±1</w:t>
            </w:r>
            <w:r>
              <w:rPr>
                <w:rFonts w:ascii="宋体" w:eastAsia="宋体" w:hAnsi="宋体" w:hint="eastAsia"/>
                <w:sz w:val="18"/>
                <w:szCs w:val="18"/>
                <w:vertAlign w:val="superscript"/>
              </w:rPr>
              <w:t>o</w:t>
            </w:r>
          </w:p>
        </w:tc>
      </w:tr>
      <w:tr w:rsidR="008B0BD0" w14:paraId="5DDFF61B" w14:textId="77777777">
        <w:trPr>
          <w:cantSplit/>
          <w:trHeight w:val="105"/>
          <w:jc w:val="center"/>
        </w:trPr>
        <w:tc>
          <w:tcPr>
            <w:tcW w:w="5398" w:type="dxa"/>
            <w:gridSpan w:val="3"/>
            <w:tcBorders>
              <w:top w:val="single" w:sz="4" w:space="0" w:color="auto"/>
              <w:left w:val="single" w:sz="8" w:space="0" w:color="auto"/>
              <w:bottom w:val="single" w:sz="8" w:space="0" w:color="auto"/>
              <w:right w:val="single" w:sz="8" w:space="0" w:color="auto"/>
            </w:tcBorders>
            <w:vAlign w:val="center"/>
          </w:tcPr>
          <w:p w14:paraId="3E5855CA" w14:textId="77777777" w:rsidR="008B0BD0" w:rsidRDefault="00000000">
            <w:pPr>
              <w:rPr>
                <w:rFonts w:ascii="宋体" w:eastAsia="宋体" w:hAnsi="宋体" w:hint="eastAsia"/>
                <w:sz w:val="18"/>
                <w:szCs w:val="18"/>
              </w:rPr>
            </w:pPr>
            <w:bookmarkStart w:id="100" w:name="_Toc167100764"/>
            <w:r>
              <w:rPr>
                <w:rFonts w:ascii="宋体" w:eastAsia="宋体" w:hAnsi="宋体" w:cs="宋体" w:hint="eastAsia"/>
                <w:sz w:val="18"/>
                <w:szCs w:val="18"/>
              </w:rPr>
              <w:t>注：h为柱身预埋接驳器竖向间距。</w:t>
            </w:r>
          </w:p>
        </w:tc>
      </w:tr>
    </w:tbl>
    <w:p w14:paraId="73F14DD6" w14:textId="77777777" w:rsidR="008B0BD0" w:rsidRDefault="00000000">
      <w:pPr>
        <w:pStyle w:val="affffffe"/>
      </w:pPr>
      <w:bookmarkStart w:id="101" w:name="_Toc193287392"/>
      <w:r>
        <w:rPr>
          <w:rFonts w:hint="eastAsia"/>
        </w:rPr>
        <w:t>复合施工</w:t>
      </w:r>
      <w:bookmarkEnd w:id="100"/>
      <w:r>
        <w:rPr>
          <w:rFonts w:hint="eastAsia"/>
        </w:rPr>
        <w:t>验收</w:t>
      </w:r>
      <w:bookmarkEnd w:id="101"/>
    </w:p>
    <w:p w14:paraId="0B43F764" w14:textId="77777777" w:rsidR="008B0BD0" w:rsidRDefault="00000000">
      <w:pPr>
        <w:pStyle w:val="a6"/>
      </w:pPr>
      <w:r>
        <w:rPr>
          <w:rFonts w:hint="eastAsia"/>
        </w:rPr>
        <w:t>预制芯柱与结构柱复合浇筑混凝土之前，应按照GB 50204的规定进行隐蔽工程验收。隐蔽工程主控项目应包括复合面质量、钢筋连接方式。</w:t>
      </w:r>
    </w:p>
    <w:p w14:paraId="4976797D" w14:textId="77777777" w:rsidR="008B0BD0" w:rsidRDefault="00000000">
      <w:pPr>
        <w:pStyle w:val="a6"/>
      </w:pPr>
      <w:r>
        <w:rPr>
          <w:rFonts w:hint="eastAsia"/>
        </w:rPr>
        <w:t>按照GB 50204和GB 50666的规定对模板、钢筋和混凝土的施工情况进行验收。</w:t>
      </w:r>
    </w:p>
    <w:p w14:paraId="611F9929" w14:textId="77777777" w:rsidR="008B0BD0" w:rsidRDefault="008B0BD0">
      <w:pPr>
        <w:pStyle w:val="a6"/>
        <w:numPr>
          <w:ilvl w:val="255"/>
          <w:numId w:val="0"/>
        </w:numPr>
      </w:pPr>
    </w:p>
    <w:p w14:paraId="14439130" w14:textId="77777777" w:rsidR="008B0BD0" w:rsidRDefault="008B0BD0">
      <w:pPr>
        <w:rPr>
          <w:rFonts w:hint="eastAsia"/>
        </w:rPr>
      </w:pPr>
    </w:p>
    <w:p w14:paraId="7F25A95D" w14:textId="77777777" w:rsidR="008B0BD0" w:rsidRDefault="00000000">
      <w:pPr>
        <w:pStyle w:val="afffffff6"/>
        <w:ind w:firstLineChars="0" w:firstLine="0"/>
        <w:rPr>
          <w:rFonts w:ascii="Times New Roman"/>
          <w:color w:val="000000" w:themeColor="text1"/>
          <w:lang w:eastAsia="zh-CN"/>
        </w:rPr>
      </w:pPr>
      <w:r>
        <w:rPr>
          <w:rFonts w:ascii="Times New Roman"/>
          <w:noProof/>
          <w:color w:val="000000" w:themeColor="text1"/>
          <w:lang w:eastAsia="zh-CN"/>
        </w:rPr>
        <mc:AlternateContent>
          <mc:Choice Requires="wps">
            <w:drawing>
              <wp:anchor distT="0" distB="0" distL="114300" distR="114300" simplePos="0" relativeHeight="251665408" behindDoc="0" locked="0" layoutInCell="1" allowOverlap="1" wp14:anchorId="11286109" wp14:editId="551F4300">
                <wp:simplePos x="0" y="0"/>
                <wp:positionH relativeFrom="column">
                  <wp:posOffset>2138680</wp:posOffset>
                </wp:positionH>
                <wp:positionV relativeFrom="paragraph">
                  <wp:posOffset>62865</wp:posOffset>
                </wp:positionV>
                <wp:extent cx="1529715" cy="7620"/>
                <wp:effectExtent l="0" t="0" r="32385" b="30480"/>
                <wp:wrapNone/>
                <wp:docPr id="3" name="直接连接符 3"/>
                <wp:cNvGraphicFramePr/>
                <a:graphic xmlns:a="http://schemas.openxmlformats.org/drawingml/2006/main">
                  <a:graphicData uri="http://schemas.microsoft.com/office/word/2010/wordprocessingShape">
                    <wps:wsp>
                      <wps:cNvCnPr/>
                      <wps:spPr>
                        <a:xfrm flipV="1">
                          <a:off x="0" y="0"/>
                          <a:ext cx="1530000" cy="762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w:pict>
              <v:line id="_x0000_s1026" o:spid="_x0000_s1026" o:spt="20" style="position:absolute;left:0pt;flip:y;margin-left:168.4pt;margin-top:4.95pt;height:0.6pt;width:120.45pt;z-index:251665408;mso-width-relative:page;mso-height-relative:page;" filled="f" stroked="t" coordsize="21600,21600" o:gfxdata="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AoD8F2AAAAAgBAAAPAAAAAAAAAAEAIAAAACIAAABkcnMvZG93bnJldi54&#10;bWxQSwECFAAUAAAACACHTuJAxlexZPoBAAD0AwAADgAAAAAAAAABACAAAAAnAQAAZHJzL2Uyb0Rv&#10;Yy54bWxQSwUGAAAAAAYABgBZAQAAkwUAAAAA&#10;">
                <v:fill on="f" focussize="0,0"/>
                <v:stroke weight="1pt" color="#000000" joinstyle="round"/>
                <v:imagedata o:title=""/>
                <o:lock v:ext="edit" aspectratio="f"/>
              </v:line>
            </w:pict>
          </mc:Fallback>
        </mc:AlternateContent>
      </w:r>
    </w:p>
    <w:sectPr w:rsidR="008B0BD0">
      <w:headerReference w:type="default" r:id="rId17"/>
      <w:footerReference w:type="even" r:id="rId18"/>
      <w:pgSz w:w="11906" w:h="16838"/>
      <w:pgMar w:top="567" w:right="1134" w:bottom="1134" w:left="1418" w:header="1418" w:footer="1134"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5161F" w14:textId="77777777" w:rsidR="00F17C15" w:rsidRDefault="00F17C15">
      <w:pPr>
        <w:rPr>
          <w:rFonts w:hint="eastAsia"/>
        </w:rPr>
      </w:pPr>
      <w:r>
        <w:separator/>
      </w:r>
    </w:p>
  </w:endnote>
  <w:endnote w:type="continuationSeparator" w:id="0">
    <w:p w14:paraId="7D4A2424" w14:textId="77777777" w:rsidR="00F17C15" w:rsidRDefault="00F17C1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618901"/>
    </w:sdtPr>
    <w:sdtContent>
      <w:p w14:paraId="133E329A" w14:textId="77777777" w:rsidR="008B0BD0" w:rsidRDefault="00000000">
        <w:pPr>
          <w:pStyle w:val="afff"/>
          <w:jc w:val="center"/>
        </w:pPr>
        <w:r>
          <w:fldChar w:fldCharType="begin"/>
        </w:r>
        <w:r>
          <w:instrText>PAGE   \* MERGEFORMAT</w:instrText>
        </w:r>
        <w:r>
          <w:fldChar w:fldCharType="separate"/>
        </w:r>
        <w:r>
          <w:rPr>
            <w:lang w:val="zh-CN"/>
          </w:rPr>
          <w:t>2</w:t>
        </w:r>
        <w:r>
          <w:fldChar w:fldCharType="end"/>
        </w:r>
      </w:p>
    </w:sdtContent>
  </w:sdt>
  <w:p w14:paraId="5427EEB9" w14:textId="77777777" w:rsidR="008B0BD0" w:rsidRDefault="008B0BD0">
    <w:pPr>
      <w:pStyle w:val="af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455792"/>
    </w:sdtPr>
    <w:sdtContent>
      <w:p w14:paraId="06125663" w14:textId="77777777" w:rsidR="008B0BD0" w:rsidRDefault="00000000">
        <w:pPr>
          <w:pStyle w:val="afff"/>
        </w:pPr>
        <w:r>
          <w:fldChar w:fldCharType="begin"/>
        </w:r>
        <w:r>
          <w:instrText>PAGE   \* MERGEFORMAT</w:instrText>
        </w:r>
        <w:r>
          <w:fldChar w:fldCharType="separate"/>
        </w:r>
        <w:r>
          <w:rPr>
            <w:lang w:val="zh-CN"/>
          </w:rPr>
          <w:t>2</w:t>
        </w:r>
        <w:r>
          <w:fldChar w:fldCharType="end"/>
        </w:r>
      </w:p>
    </w:sdtContent>
  </w:sdt>
  <w:p w14:paraId="0888BDDA" w14:textId="77777777" w:rsidR="008B0BD0" w:rsidRDefault="008B0BD0">
    <w:pPr>
      <w:pStyle w:val="a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9F97" w14:textId="77777777" w:rsidR="008B0BD0" w:rsidRDefault="00000000">
    <w:pPr>
      <w:pStyle w:val="affff"/>
    </w:pPr>
    <w:r>
      <w:fldChar w:fldCharType="begin"/>
    </w:r>
    <w:r>
      <w:instrText xml:space="preserve"> PAGE  \* MERGEFORMAT </w:instrText>
    </w:r>
    <w:r>
      <w:fldChar w:fldCharType="separate"/>
    </w:r>
    <w:r>
      <w:t>4</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987821"/>
    </w:sdtPr>
    <w:sdtContent>
      <w:p w14:paraId="2AA487C9" w14:textId="77777777" w:rsidR="008B0BD0" w:rsidRDefault="00000000">
        <w:pPr>
          <w:pStyle w:val="afff"/>
          <w:jc w:val="left"/>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923B3" w14:textId="77777777" w:rsidR="00F17C15" w:rsidRDefault="00F17C15">
      <w:pPr>
        <w:rPr>
          <w:rFonts w:hint="eastAsia"/>
        </w:rPr>
      </w:pPr>
      <w:r>
        <w:separator/>
      </w:r>
    </w:p>
  </w:footnote>
  <w:footnote w:type="continuationSeparator" w:id="0">
    <w:p w14:paraId="3C46F06D" w14:textId="77777777" w:rsidR="00F17C15" w:rsidRDefault="00F17C1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A266" w14:textId="77777777" w:rsidR="008B0BD0" w:rsidRDefault="00000000">
    <w:pPr>
      <w:pStyle w:val="afff1"/>
      <w:spacing w:beforeLines="50" w:before="120" w:afterLines="150" w:after="360"/>
    </w:pPr>
    <w:r>
      <w:t>DBXX/ 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AF29C" w14:textId="77777777" w:rsidR="008B0BD0" w:rsidRDefault="00000000">
    <w:pPr>
      <w:pStyle w:val="afff1"/>
      <w:spacing w:beforeLines="50" w:before="120" w:afterLines="150" w:after="360"/>
    </w:pPr>
    <w:r>
      <w:t>DBXX/ 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9295" w14:textId="77777777" w:rsidR="008B0BD0" w:rsidRDefault="00000000">
    <w:pPr>
      <w:pStyle w:val="affff0"/>
    </w:pPr>
    <w:r>
      <w:t>DBXX/ XXXXX</w:t>
    </w:r>
    <w:r>
      <w:t>—</w:t>
    </w:r>
    <w: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1F530" w14:textId="77777777" w:rsidR="008B0BD0" w:rsidRDefault="00000000">
    <w:pPr>
      <w:pStyle w:val="affff0"/>
    </w:pPr>
    <w:r>
      <w:t>DBXX/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02AD"/>
    <w:multiLevelType w:val="multilevel"/>
    <w:tmpl w:val="079102AD"/>
    <w:lvl w:ilvl="0">
      <w:start w:val="1"/>
      <w:numFmt w:val="decimal"/>
      <w:pStyle w:val="a"/>
      <w:suff w:val="nothing"/>
      <w:lvlText w:val="注%1："/>
      <w:lvlJc w:val="left"/>
      <w:pPr>
        <w:ind w:left="3789" w:hanging="448"/>
      </w:pPr>
      <w:rPr>
        <w:rFonts w:ascii="黑体" w:eastAsia="黑体" w:hint="eastAsia"/>
        <w:b w:val="0"/>
        <w:i w:val="0"/>
        <w:sz w:val="18"/>
        <w:lang w:val="en-US"/>
      </w:rPr>
    </w:lvl>
    <w:lvl w:ilvl="1">
      <w:start w:val="1"/>
      <w:numFmt w:val="lowerLetter"/>
      <w:lvlText w:val="%2)"/>
      <w:lvlJc w:val="left"/>
      <w:pPr>
        <w:tabs>
          <w:tab w:val="left" w:pos="2978"/>
        </w:tabs>
        <w:ind w:left="3970" w:hanging="629"/>
      </w:pPr>
      <w:rPr>
        <w:rFonts w:hint="eastAsia"/>
      </w:rPr>
    </w:lvl>
    <w:lvl w:ilvl="2">
      <w:start w:val="1"/>
      <w:numFmt w:val="lowerRoman"/>
      <w:lvlText w:val="%3."/>
      <w:lvlJc w:val="right"/>
      <w:pPr>
        <w:tabs>
          <w:tab w:val="left" w:pos="2978"/>
        </w:tabs>
        <w:ind w:left="3970" w:hanging="629"/>
      </w:pPr>
      <w:rPr>
        <w:rFonts w:hint="eastAsia"/>
      </w:rPr>
    </w:lvl>
    <w:lvl w:ilvl="3">
      <w:start w:val="1"/>
      <w:numFmt w:val="decimal"/>
      <w:lvlText w:val="%4."/>
      <w:lvlJc w:val="left"/>
      <w:pPr>
        <w:tabs>
          <w:tab w:val="left" w:pos="2978"/>
        </w:tabs>
        <w:ind w:left="3970" w:hanging="629"/>
      </w:pPr>
      <w:rPr>
        <w:rFonts w:hint="eastAsia"/>
      </w:rPr>
    </w:lvl>
    <w:lvl w:ilvl="4">
      <w:start w:val="1"/>
      <w:numFmt w:val="lowerLetter"/>
      <w:lvlText w:val="%5)"/>
      <w:lvlJc w:val="left"/>
      <w:pPr>
        <w:tabs>
          <w:tab w:val="left" w:pos="2978"/>
        </w:tabs>
        <w:ind w:left="3970" w:hanging="629"/>
      </w:pPr>
      <w:rPr>
        <w:rFonts w:hint="eastAsia"/>
      </w:rPr>
    </w:lvl>
    <w:lvl w:ilvl="5">
      <w:start w:val="1"/>
      <w:numFmt w:val="lowerRoman"/>
      <w:lvlText w:val="%6."/>
      <w:lvlJc w:val="right"/>
      <w:pPr>
        <w:tabs>
          <w:tab w:val="left" w:pos="2978"/>
        </w:tabs>
        <w:ind w:left="3970" w:hanging="629"/>
      </w:pPr>
      <w:rPr>
        <w:rFonts w:hint="eastAsia"/>
      </w:rPr>
    </w:lvl>
    <w:lvl w:ilvl="6">
      <w:start w:val="1"/>
      <w:numFmt w:val="decimal"/>
      <w:lvlText w:val="%7."/>
      <w:lvlJc w:val="left"/>
      <w:pPr>
        <w:tabs>
          <w:tab w:val="left" w:pos="2978"/>
        </w:tabs>
        <w:ind w:left="3970" w:hanging="629"/>
      </w:pPr>
      <w:rPr>
        <w:rFonts w:hint="eastAsia"/>
      </w:rPr>
    </w:lvl>
    <w:lvl w:ilvl="7">
      <w:start w:val="1"/>
      <w:numFmt w:val="lowerLetter"/>
      <w:lvlText w:val="%8)"/>
      <w:lvlJc w:val="left"/>
      <w:pPr>
        <w:tabs>
          <w:tab w:val="left" w:pos="2978"/>
        </w:tabs>
        <w:ind w:left="3970" w:hanging="629"/>
      </w:pPr>
      <w:rPr>
        <w:rFonts w:hint="eastAsia"/>
      </w:rPr>
    </w:lvl>
    <w:lvl w:ilvl="8">
      <w:start w:val="1"/>
      <w:numFmt w:val="lowerRoman"/>
      <w:lvlText w:val="%9."/>
      <w:lvlJc w:val="right"/>
      <w:pPr>
        <w:tabs>
          <w:tab w:val="left" w:pos="2978"/>
        </w:tabs>
        <w:ind w:left="3970"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6"/>
      <w:suff w:val="nothing"/>
      <w:lvlText w:val="%1.%2.%3　"/>
      <w:lvlJc w:val="left"/>
      <w:pPr>
        <w:ind w:left="851"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1968" w:hanging="408"/>
      </w:pPr>
      <w:rPr>
        <w:rFonts w:hint="eastAsia"/>
        <w:lang w:val="en-US"/>
      </w:rPr>
    </w:lvl>
    <w:lvl w:ilvl="1">
      <w:start w:val="1"/>
      <w:numFmt w:val="bullet"/>
      <w:pStyle w:val="ad"/>
      <w:lvlText w:val=""/>
      <w:lvlJc w:val="left"/>
      <w:pPr>
        <w:tabs>
          <w:tab w:val="left" w:pos="760"/>
        </w:tabs>
        <w:ind w:left="1259" w:hanging="413"/>
      </w:pPr>
      <w:rPr>
        <w:rFonts w:ascii="Symbol" w:hAnsi="Symbol" w:hint="default"/>
        <w:color w:val="auto"/>
      </w:rPr>
    </w:lvl>
    <w:lvl w:ilvl="2">
      <w:start w:val="1"/>
      <w:numFmt w:val="bullet"/>
      <w:pStyle w:val="ae"/>
      <w:lvlText w:val=""/>
      <w:lvlJc w:val="left"/>
      <w:pPr>
        <w:tabs>
          <w:tab w:val="left" w:pos="1678"/>
        </w:tabs>
        <w:ind w:left="1673" w:hanging="414"/>
      </w:pPr>
      <w:rPr>
        <w:rFonts w:ascii="Symbol" w:hAnsi="Symbol" w:hint="default"/>
        <w:color w:val="auto"/>
      </w:rPr>
    </w:lvl>
    <w:lvl w:ilvl="3">
      <w:start w:val="1"/>
      <w:numFmt w:val="decimal"/>
      <w:lvlText w:val="%4."/>
      <w:lvlJc w:val="left"/>
      <w:pPr>
        <w:tabs>
          <w:tab w:val="left" w:pos="2071"/>
        </w:tabs>
        <w:ind w:left="1879" w:hanging="528"/>
      </w:pPr>
      <w:rPr>
        <w:rFonts w:hint="eastAsia"/>
      </w:rPr>
    </w:lvl>
    <w:lvl w:ilvl="4">
      <w:start w:val="1"/>
      <w:numFmt w:val="lowerLetter"/>
      <w:lvlText w:val="%5)"/>
      <w:lvlJc w:val="left"/>
      <w:pPr>
        <w:tabs>
          <w:tab w:val="left" w:pos="2383"/>
        </w:tabs>
        <w:ind w:left="2191" w:hanging="528"/>
      </w:pPr>
      <w:rPr>
        <w:rFonts w:hint="eastAsia"/>
      </w:rPr>
    </w:lvl>
    <w:lvl w:ilvl="5">
      <w:start w:val="1"/>
      <w:numFmt w:val="lowerRoman"/>
      <w:lvlText w:val="%6."/>
      <w:lvlJc w:val="right"/>
      <w:pPr>
        <w:tabs>
          <w:tab w:val="left" w:pos="2695"/>
        </w:tabs>
        <w:ind w:left="2503" w:hanging="528"/>
      </w:pPr>
      <w:rPr>
        <w:rFonts w:hint="eastAsia"/>
      </w:rPr>
    </w:lvl>
    <w:lvl w:ilvl="6">
      <w:start w:val="1"/>
      <w:numFmt w:val="decimal"/>
      <w:lvlText w:val="%7."/>
      <w:lvlJc w:val="left"/>
      <w:pPr>
        <w:tabs>
          <w:tab w:val="left" w:pos="3007"/>
        </w:tabs>
        <w:ind w:left="2815" w:hanging="528"/>
      </w:pPr>
      <w:rPr>
        <w:rFonts w:hint="eastAsia"/>
      </w:rPr>
    </w:lvl>
    <w:lvl w:ilvl="7">
      <w:start w:val="1"/>
      <w:numFmt w:val="lowerLetter"/>
      <w:lvlText w:val="%8)"/>
      <w:lvlJc w:val="left"/>
      <w:pPr>
        <w:tabs>
          <w:tab w:val="left" w:pos="3319"/>
        </w:tabs>
        <w:ind w:left="3127" w:hanging="528"/>
      </w:pPr>
      <w:rPr>
        <w:rFonts w:hint="eastAsia"/>
      </w:rPr>
    </w:lvl>
    <w:lvl w:ilvl="8">
      <w:start w:val="1"/>
      <w:numFmt w:val="lowerRoman"/>
      <w:lvlText w:val="%9."/>
      <w:lvlJc w:val="right"/>
      <w:pPr>
        <w:tabs>
          <w:tab w:val="left" w:pos="3631"/>
        </w:tabs>
        <w:ind w:left="3439" w:hanging="528"/>
      </w:pPr>
      <w:rPr>
        <w:rFonts w:hint="eastAsia"/>
      </w:rPr>
    </w:lvl>
  </w:abstractNum>
  <w:abstractNum w:abstractNumId="8" w15:restartNumberingAfterBreak="0">
    <w:nsid w:val="3818378C"/>
    <w:multiLevelType w:val="multilevel"/>
    <w:tmpl w:val="3818378C"/>
    <w:lvl w:ilvl="0">
      <w:start w:val="1"/>
      <w:numFmt w:val="upperLetter"/>
      <w:pStyle w:val="2"/>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pStyle w:val="0505"/>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2694"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266470806">
    <w:abstractNumId w:val="9"/>
  </w:num>
  <w:num w:numId="2" w16cid:durableId="1427075305">
    <w:abstractNumId w:val="5"/>
  </w:num>
  <w:num w:numId="3" w16cid:durableId="1832327825">
    <w:abstractNumId w:val="7"/>
  </w:num>
  <w:num w:numId="4" w16cid:durableId="1754743018">
    <w:abstractNumId w:val="2"/>
  </w:num>
  <w:num w:numId="5" w16cid:durableId="1645966117">
    <w:abstractNumId w:val="10"/>
  </w:num>
  <w:num w:numId="6" w16cid:durableId="1848865514">
    <w:abstractNumId w:val="17"/>
  </w:num>
  <w:num w:numId="7" w16cid:durableId="578490829">
    <w:abstractNumId w:val="0"/>
  </w:num>
  <w:num w:numId="8" w16cid:durableId="387187911">
    <w:abstractNumId w:val="11"/>
  </w:num>
  <w:num w:numId="9" w16cid:durableId="823161333">
    <w:abstractNumId w:val="4"/>
  </w:num>
  <w:num w:numId="10" w16cid:durableId="925847982">
    <w:abstractNumId w:val="15"/>
  </w:num>
  <w:num w:numId="11" w16cid:durableId="1630238292">
    <w:abstractNumId w:val="13"/>
  </w:num>
  <w:num w:numId="12" w16cid:durableId="1790203545">
    <w:abstractNumId w:val="16"/>
  </w:num>
  <w:num w:numId="13" w16cid:durableId="1483932529">
    <w:abstractNumId w:val="6"/>
  </w:num>
  <w:num w:numId="14" w16cid:durableId="1069502335">
    <w:abstractNumId w:val="1"/>
  </w:num>
  <w:num w:numId="15" w16cid:durableId="1882981323">
    <w:abstractNumId w:val="3"/>
  </w:num>
  <w:num w:numId="16" w16cid:durableId="1334646964">
    <w:abstractNumId w:val="14"/>
  </w:num>
  <w:num w:numId="17" w16cid:durableId="1367482861">
    <w:abstractNumId w:val="12"/>
  </w:num>
  <w:num w:numId="18" w16cid:durableId="10133398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I5ZWU1NmJjZTNkN2Y4NWZmMDYzNDc5YjNmYmVhNGEifQ=="/>
  </w:docVars>
  <w:rsids>
    <w:rsidRoot w:val="004D3D30"/>
    <w:rsid w:val="00003380"/>
    <w:rsid w:val="00004A60"/>
    <w:rsid w:val="00004D6D"/>
    <w:rsid w:val="00005392"/>
    <w:rsid w:val="00006083"/>
    <w:rsid w:val="00013D85"/>
    <w:rsid w:val="0002430B"/>
    <w:rsid w:val="00024A50"/>
    <w:rsid w:val="00031BC8"/>
    <w:rsid w:val="00035CF2"/>
    <w:rsid w:val="00037A4B"/>
    <w:rsid w:val="0004296A"/>
    <w:rsid w:val="00042F31"/>
    <w:rsid w:val="000431D8"/>
    <w:rsid w:val="000460FB"/>
    <w:rsid w:val="0004790A"/>
    <w:rsid w:val="0005197F"/>
    <w:rsid w:val="00054E7E"/>
    <w:rsid w:val="00055E68"/>
    <w:rsid w:val="000577A2"/>
    <w:rsid w:val="00057A5B"/>
    <w:rsid w:val="00066D38"/>
    <w:rsid w:val="00066F9C"/>
    <w:rsid w:val="000719B6"/>
    <w:rsid w:val="000725A0"/>
    <w:rsid w:val="000728D5"/>
    <w:rsid w:val="00073E5A"/>
    <w:rsid w:val="00086F23"/>
    <w:rsid w:val="00087097"/>
    <w:rsid w:val="000877DA"/>
    <w:rsid w:val="00090278"/>
    <w:rsid w:val="00091A08"/>
    <w:rsid w:val="00093ADF"/>
    <w:rsid w:val="000A063E"/>
    <w:rsid w:val="000A0698"/>
    <w:rsid w:val="000A2340"/>
    <w:rsid w:val="000A2A84"/>
    <w:rsid w:val="000A3854"/>
    <w:rsid w:val="000A406F"/>
    <w:rsid w:val="000A51DE"/>
    <w:rsid w:val="000A747C"/>
    <w:rsid w:val="000B0595"/>
    <w:rsid w:val="000B091A"/>
    <w:rsid w:val="000B0D29"/>
    <w:rsid w:val="000B1457"/>
    <w:rsid w:val="000B218A"/>
    <w:rsid w:val="000B2366"/>
    <w:rsid w:val="000B3B09"/>
    <w:rsid w:val="000B3C27"/>
    <w:rsid w:val="000B420F"/>
    <w:rsid w:val="000B5F65"/>
    <w:rsid w:val="000B6082"/>
    <w:rsid w:val="000C066C"/>
    <w:rsid w:val="000C1A25"/>
    <w:rsid w:val="000C1D2D"/>
    <w:rsid w:val="000C30F8"/>
    <w:rsid w:val="000D35AB"/>
    <w:rsid w:val="000D58AC"/>
    <w:rsid w:val="000E296C"/>
    <w:rsid w:val="000E3F44"/>
    <w:rsid w:val="000E5D7F"/>
    <w:rsid w:val="000E622F"/>
    <w:rsid w:val="000F3E08"/>
    <w:rsid w:val="00102791"/>
    <w:rsid w:val="00104B5D"/>
    <w:rsid w:val="00110E9D"/>
    <w:rsid w:val="00115A44"/>
    <w:rsid w:val="0012211A"/>
    <w:rsid w:val="00127925"/>
    <w:rsid w:val="00131E28"/>
    <w:rsid w:val="00134624"/>
    <w:rsid w:val="00135F5C"/>
    <w:rsid w:val="00143A9F"/>
    <w:rsid w:val="00147F4B"/>
    <w:rsid w:val="00155205"/>
    <w:rsid w:val="00156A4B"/>
    <w:rsid w:val="00157842"/>
    <w:rsid w:val="00161606"/>
    <w:rsid w:val="00163994"/>
    <w:rsid w:val="00165ABA"/>
    <w:rsid w:val="001661B9"/>
    <w:rsid w:val="00171941"/>
    <w:rsid w:val="00172AA0"/>
    <w:rsid w:val="00172F3D"/>
    <w:rsid w:val="001750D5"/>
    <w:rsid w:val="00177B1A"/>
    <w:rsid w:val="00181E0B"/>
    <w:rsid w:val="00184C07"/>
    <w:rsid w:val="00185F12"/>
    <w:rsid w:val="0019277F"/>
    <w:rsid w:val="00193F15"/>
    <w:rsid w:val="001956A8"/>
    <w:rsid w:val="001A5128"/>
    <w:rsid w:val="001B0B24"/>
    <w:rsid w:val="001B0C5A"/>
    <w:rsid w:val="001B1A33"/>
    <w:rsid w:val="001B7F1B"/>
    <w:rsid w:val="001C350E"/>
    <w:rsid w:val="001C53CF"/>
    <w:rsid w:val="001D19EB"/>
    <w:rsid w:val="001D2CE8"/>
    <w:rsid w:val="001E3CEA"/>
    <w:rsid w:val="001F2DFD"/>
    <w:rsid w:val="001F2E5D"/>
    <w:rsid w:val="001F5503"/>
    <w:rsid w:val="001F5BDF"/>
    <w:rsid w:val="00202458"/>
    <w:rsid w:val="00204BD9"/>
    <w:rsid w:val="00204DC1"/>
    <w:rsid w:val="00206744"/>
    <w:rsid w:val="00206905"/>
    <w:rsid w:val="00206B8A"/>
    <w:rsid w:val="00207BD5"/>
    <w:rsid w:val="00213394"/>
    <w:rsid w:val="002144CF"/>
    <w:rsid w:val="00216ABC"/>
    <w:rsid w:val="002205AC"/>
    <w:rsid w:val="00221CF5"/>
    <w:rsid w:val="00225079"/>
    <w:rsid w:val="00233AF7"/>
    <w:rsid w:val="002360FE"/>
    <w:rsid w:val="00236BD3"/>
    <w:rsid w:val="002406F7"/>
    <w:rsid w:val="002416F2"/>
    <w:rsid w:val="00242A66"/>
    <w:rsid w:val="00250307"/>
    <w:rsid w:val="00251CB9"/>
    <w:rsid w:val="00255272"/>
    <w:rsid w:val="0025740D"/>
    <w:rsid w:val="002600DB"/>
    <w:rsid w:val="002641BC"/>
    <w:rsid w:val="00266618"/>
    <w:rsid w:val="00274D00"/>
    <w:rsid w:val="00277E4F"/>
    <w:rsid w:val="00280D9D"/>
    <w:rsid w:val="00282C6E"/>
    <w:rsid w:val="00283FC0"/>
    <w:rsid w:val="002841DC"/>
    <w:rsid w:val="00286252"/>
    <w:rsid w:val="002872CF"/>
    <w:rsid w:val="0029020E"/>
    <w:rsid w:val="002913ED"/>
    <w:rsid w:val="002956E4"/>
    <w:rsid w:val="002965D6"/>
    <w:rsid w:val="002A20FB"/>
    <w:rsid w:val="002A7E3F"/>
    <w:rsid w:val="002B1AA8"/>
    <w:rsid w:val="002B2615"/>
    <w:rsid w:val="002B3D88"/>
    <w:rsid w:val="002B66AF"/>
    <w:rsid w:val="002C07E8"/>
    <w:rsid w:val="002C25E5"/>
    <w:rsid w:val="002C30E3"/>
    <w:rsid w:val="002C5122"/>
    <w:rsid w:val="002D0EB8"/>
    <w:rsid w:val="002D187B"/>
    <w:rsid w:val="002E2D8F"/>
    <w:rsid w:val="002E63D6"/>
    <w:rsid w:val="002F098B"/>
    <w:rsid w:val="002F0B56"/>
    <w:rsid w:val="002F3295"/>
    <w:rsid w:val="002F58B1"/>
    <w:rsid w:val="002F772C"/>
    <w:rsid w:val="002F78C3"/>
    <w:rsid w:val="0030178A"/>
    <w:rsid w:val="00302998"/>
    <w:rsid w:val="00302B6B"/>
    <w:rsid w:val="0030366B"/>
    <w:rsid w:val="0030686B"/>
    <w:rsid w:val="00313210"/>
    <w:rsid w:val="0031729C"/>
    <w:rsid w:val="003173C5"/>
    <w:rsid w:val="00321048"/>
    <w:rsid w:val="00321C92"/>
    <w:rsid w:val="0032664C"/>
    <w:rsid w:val="00326F05"/>
    <w:rsid w:val="00333173"/>
    <w:rsid w:val="00333520"/>
    <w:rsid w:val="00333A2A"/>
    <w:rsid w:val="00333CCC"/>
    <w:rsid w:val="00334E98"/>
    <w:rsid w:val="003472F9"/>
    <w:rsid w:val="003478EE"/>
    <w:rsid w:val="00350275"/>
    <w:rsid w:val="0035320E"/>
    <w:rsid w:val="00354223"/>
    <w:rsid w:val="00355989"/>
    <w:rsid w:val="003567FE"/>
    <w:rsid w:val="00360640"/>
    <w:rsid w:val="0036074D"/>
    <w:rsid w:val="0036141F"/>
    <w:rsid w:val="003627DD"/>
    <w:rsid w:val="00362CFD"/>
    <w:rsid w:val="00365C93"/>
    <w:rsid w:val="0037047B"/>
    <w:rsid w:val="003740F1"/>
    <w:rsid w:val="003747CE"/>
    <w:rsid w:val="00380C1E"/>
    <w:rsid w:val="00382C76"/>
    <w:rsid w:val="00390C71"/>
    <w:rsid w:val="00392669"/>
    <w:rsid w:val="00395493"/>
    <w:rsid w:val="003963FF"/>
    <w:rsid w:val="003A0708"/>
    <w:rsid w:val="003A2181"/>
    <w:rsid w:val="003A34E0"/>
    <w:rsid w:val="003A4C52"/>
    <w:rsid w:val="003B0438"/>
    <w:rsid w:val="003B1A94"/>
    <w:rsid w:val="003B1B7E"/>
    <w:rsid w:val="003B615E"/>
    <w:rsid w:val="003B6956"/>
    <w:rsid w:val="003B74F2"/>
    <w:rsid w:val="003C0753"/>
    <w:rsid w:val="003D05B2"/>
    <w:rsid w:val="003D0865"/>
    <w:rsid w:val="003D4B87"/>
    <w:rsid w:val="003D4FDC"/>
    <w:rsid w:val="003D5120"/>
    <w:rsid w:val="003D7027"/>
    <w:rsid w:val="003E5D0D"/>
    <w:rsid w:val="003F0132"/>
    <w:rsid w:val="003F0A86"/>
    <w:rsid w:val="003F10F0"/>
    <w:rsid w:val="003F1EE5"/>
    <w:rsid w:val="004009E3"/>
    <w:rsid w:val="00400D68"/>
    <w:rsid w:val="004016D4"/>
    <w:rsid w:val="004031B1"/>
    <w:rsid w:val="004051AE"/>
    <w:rsid w:val="0040717A"/>
    <w:rsid w:val="00411AF8"/>
    <w:rsid w:val="00413E67"/>
    <w:rsid w:val="00415C8F"/>
    <w:rsid w:val="00420265"/>
    <w:rsid w:val="0042236F"/>
    <w:rsid w:val="00432CA9"/>
    <w:rsid w:val="00435BAB"/>
    <w:rsid w:val="00441978"/>
    <w:rsid w:val="0045087D"/>
    <w:rsid w:val="00453855"/>
    <w:rsid w:val="004538B1"/>
    <w:rsid w:val="00455FE2"/>
    <w:rsid w:val="004575B0"/>
    <w:rsid w:val="00460CC9"/>
    <w:rsid w:val="00462DF2"/>
    <w:rsid w:val="00467AB9"/>
    <w:rsid w:val="00471281"/>
    <w:rsid w:val="004735F6"/>
    <w:rsid w:val="00473989"/>
    <w:rsid w:val="0047410C"/>
    <w:rsid w:val="00474F3E"/>
    <w:rsid w:val="004834CA"/>
    <w:rsid w:val="00484A53"/>
    <w:rsid w:val="00485E7E"/>
    <w:rsid w:val="00494B22"/>
    <w:rsid w:val="00497CA2"/>
    <w:rsid w:val="004A0A9D"/>
    <w:rsid w:val="004A0ED2"/>
    <w:rsid w:val="004A1CC8"/>
    <w:rsid w:val="004A68EC"/>
    <w:rsid w:val="004B340B"/>
    <w:rsid w:val="004B4421"/>
    <w:rsid w:val="004B5983"/>
    <w:rsid w:val="004B6CBD"/>
    <w:rsid w:val="004B7E4C"/>
    <w:rsid w:val="004C4250"/>
    <w:rsid w:val="004C5218"/>
    <w:rsid w:val="004C5CD8"/>
    <w:rsid w:val="004C6C7C"/>
    <w:rsid w:val="004C7AE1"/>
    <w:rsid w:val="004D3D30"/>
    <w:rsid w:val="004D5827"/>
    <w:rsid w:val="004E0863"/>
    <w:rsid w:val="004E0A4C"/>
    <w:rsid w:val="004E1086"/>
    <w:rsid w:val="004E1BEB"/>
    <w:rsid w:val="004E7B27"/>
    <w:rsid w:val="004F0023"/>
    <w:rsid w:val="004F1F8F"/>
    <w:rsid w:val="004F3141"/>
    <w:rsid w:val="004F3BBC"/>
    <w:rsid w:val="004F3DFF"/>
    <w:rsid w:val="004F4EBB"/>
    <w:rsid w:val="004F73A6"/>
    <w:rsid w:val="004F7778"/>
    <w:rsid w:val="004F7CF3"/>
    <w:rsid w:val="0050061C"/>
    <w:rsid w:val="0050144C"/>
    <w:rsid w:val="00503C53"/>
    <w:rsid w:val="00504B1B"/>
    <w:rsid w:val="00505B5D"/>
    <w:rsid w:val="0050620F"/>
    <w:rsid w:val="00513B57"/>
    <w:rsid w:val="00514219"/>
    <w:rsid w:val="005176EC"/>
    <w:rsid w:val="00520846"/>
    <w:rsid w:val="00523A6A"/>
    <w:rsid w:val="00526186"/>
    <w:rsid w:val="0053002C"/>
    <w:rsid w:val="00531FBC"/>
    <w:rsid w:val="005320B2"/>
    <w:rsid w:val="005332FD"/>
    <w:rsid w:val="005337EC"/>
    <w:rsid w:val="005344F0"/>
    <w:rsid w:val="00534F4D"/>
    <w:rsid w:val="0053574E"/>
    <w:rsid w:val="0054493B"/>
    <w:rsid w:val="00551847"/>
    <w:rsid w:val="00555A00"/>
    <w:rsid w:val="00560D54"/>
    <w:rsid w:val="0056598D"/>
    <w:rsid w:val="005670B1"/>
    <w:rsid w:val="00567285"/>
    <w:rsid w:val="0056784B"/>
    <w:rsid w:val="00574D4A"/>
    <w:rsid w:val="005815E8"/>
    <w:rsid w:val="00584CEA"/>
    <w:rsid w:val="00585284"/>
    <w:rsid w:val="00586249"/>
    <w:rsid w:val="00586D4D"/>
    <w:rsid w:val="00587DD7"/>
    <w:rsid w:val="005902A0"/>
    <w:rsid w:val="00591014"/>
    <w:rsid w:val="005934E2"/>
    <w:rsid w:val="005972CF"/>
    <w:rsid w:val="005979AB"/>
    <w:rsid w:val="005A29DC"/>
    <w:rsid w:val="005A4780"/>
    <w:rsid w:val="005A5AE5"/>
    <w:rsid w:val="005B3455"/>
    <w:rsid w:val="005C014F"/>
    <w:rsid w:val="005C3976"/>
    <w:rsid w:val="005C4444"/>
    <w:rsid w:val="005D15F3"/>
    <w:rsid w:val="005D2D9A"/>
    <w:rsid w:val="005D4907"/>
    <w:rsid w:val="005D7669"/>
    <w:rsid w:val="005D766F"/>
    <w:rsid w:val="005E10F3"/>
    <w:rsid w:val="005E18AD"/>
    <w:rsid w:val="005E4140"/>
    <w:rsid w:val="005E4DA9"/>
    <w:rsid w:val="005E5AAB"/>
    <w:rsid w:val="005E636D"/>
    <w:rsid w:val="005E6FE4"/>
    <w:rsid w:val="005E79F8"/>
    <w:rsid w:val="005F2A0E"/>
    <w:rsid w:val="005F2F9D"/>
    <w:rsid w:val="005F346E"/>
    <w:rsid w:val="00600BAA"/>
    <w:rsid w:val="00600EE8"/>
    <w:rsid w:val="00601385"/>
    <w:rsid w:val="0060267D"/>
    <w:rsid w:val="006070F7"/>
    <w:rsid w:val="00607CC1"/>
    <w:rsid w:val="00610A13"/>
    <w:rsid w:val="00612430"/>
    <w:rsid w:val="0062088C"/>
    <w:rsid w:val="0062139C"/>
    <w:rsid w:val="0062398C"/>
    <w:rsid w:val="00624841"/>
    <w:rsid w:val="00626DC8"/>
    <w:rsid w:val="006305DD"/>
    <w:rsid w:val="00630E1E"/>
    <w:rsid w:val="0063760B"/>
    <w:rsid w:val="00637E22"/>
    <w:rsid w:val="00647ADE"/>
    <w:rsid w:val="00650F3D"/>
    <w:rsid w:val="00652719"/>
    <w:rsid w:val="00654B02"/>
    <w:rsid w:val="00660770"/>
    <w:rsid w:val="0066103D"/>
    <w:rsid w:val="006631F7"/>
    <w:rsid w:val="00663705"/>
    <w:rsid w:val="00666A95"/>
    <w:rsid w:val="00666AF0"/>
    <w:rsid w:val="00667E0E"/>
    <w:rsid w:val="00670712"/>
    <w:rsid w:val="00670C2A"/>
    <w:rsid w:val="00674753"/>
    <w:rsid w:val="00677E00"/>
    <w:rsid w:val="006817BA"/>
    <w:rsid w:val="006852FC"/>
    <w:rsid w:val="006878EE"/>
    <w:rsid w:val="00692B8C"/>
    <w:rsid w:val="006950FA"/>
    <w:rsid w:val="00696C2A"/>
    <w:rsid w:val="00696FEF"/>
    <w:rsid w:val="00697709"/>
    <w:rsid w:val="006A275C"/>
    <w:rsid w:val="006A310D"/>
    <w:rsid w:val="006A57A7"/>
    <w:rsid w:val="006A6063"/>
    <w:rsid w:val="006A6CD6"/>
    <w:rsid w:val="006B09A2"/>
    <w:rsid w:val="006B0E2A"/>
    <w:rsid w:val="006B2BF0"/>
    <w:rsid w:val="006B313A"/>
    <w:rsid w:val="006B49F7"/>
    <w:rsid w:val="006B68A3"/>
    <w:rsid w:val="006B752C"/>
    <w:rsid w:val="006C3F73"/>
    <w:rsid w:val="006C4038"/>
    <w:rsid w:val="006C562C"/>
    <w:rsid w:val="006C7C7F"/>
    <w:rsid w:val="006D068D"/>
    <w:rsid w:val="006D0FC5"/>
    <w:rsid w:val="006D2FC2"/>
    <w:rsid w:val="006D3244"/>
    <w:rsid w:val="006D35C0"/>
    <w:rsid w:val="006D73AE"/>
    <w:rsid w:val="006E1201"/>
    <w:rsid w:val="006E1848"/>
    <w:rsid w:val="006E19C6"/>
    <w:rsid w:val="006E31F5"/>
    <w:rsid w:val="006E4635"/>
    <w:rsid w:val="006E58EA"/>
    <w:rsid w:val="006E6732"/>
    <w:rsid w:val="006F0D97"/>
    <w:rsid w:val="006F0E53"/>
    <w:rsid w:val="006F1A12"/>
    <w:rsid w:val="006F218E"/>
    <w:rsid w:val="006F2F82"/>
    <w:rsid w:val="006F3CF9"/>
    <w:rsid w:val="006F5070"/>
    <w:rsid w:val="006F6DF7"/>
    <w:rsid w:val="006F782F"/>
    <w:rsid w:val="006F7A70"/>
    <w:rsid w:val="006F7D3B"/>
    <w:rsid w:val="00701AB0"/>
    <w:rsid w:val="00704E23"/>
    <w:rsid w:val="00707AF6"/>
    <w:rsid w:val="0071276A"/>
    <w:rsid w:val="0071675A"/>
    <w:rsid w:val="00724305"/>
    <w:rsid w:val="00724E4C"/>
    <w:rsid w:val="00725494"/>
    <w:rsid w:val="00725A26"/>
    <w:rsid w:val="00730AF6"/>
    <w:rsid w:val="00730C1B"/>
    <w:rsid w:val="00731219"/>
    <w:rsid w:val="00731808"/>
    <w:rsid w:val="007322DA"/>
    <w:rsid w:val="00732EFB"/>
    <w:rsid w:val="007345DD"/>
    <w:rsid w:val="00736172"/>
    <w:rsid w:val="0073777D"/>
    <w:rsid w:val="007410D2"/>
    <w:rsid w:val="00744FC6"/>
    <w:rsid w:val="00746159"/>
    <w:rsid w:val="00746705"/>
    <w:rsid w:val="00747C42"/>
    <w:rsid w:val="00750B1E"/>
    <w:rsid w:val="00750FE5"/>
    <w:rsid w:val="007530C4"/>
    <w:rsid w:val="0075313F"/>
    <w:rsid w:val="00754585"/>
    <w:rsid w:val="00760FA2"/>
    <w:rsid w:val="0076235E"/>
    <w:rsid w:val="00762A0D"/>
    <w:rsid w:val="00765A01"/>
    <w:rsid w:val="00765B5F"/>
    <w:rsid w:val="00766892"/>
    <w:rsid w:val="00767FAD"/>
    <w:rsid w:val="00773403"/>
    <w:rsid w:val="0077479E"/>
    <w:rsid w:val="00776EF0"/>
    <w:rsid w:val="007800B5"/>
    <w:rsid w:val="0078299D"/>
    <w:rsid w:val="00786339"/>
    <w:rsid w:val="0079302B"/>
    <w:rsid w:val="00793B8F"/>
    <w:rsid w:val="007968B5"/>
    <w:rsid w:val="007A1A9D"/>
    <w:rsid w:val="007A6251"/>
    <w:rsid w:val="007A6F74"/>
    <w:rsid w:val="007A7FB4"/>
    <w:rsid w:val="007B2DCE"/>
    <w:rsid w:val="007B320F"/>
    <w:rsid w:val="007B35C9"/>
    <w:rsid w:val="007C25C3"/>
    <w:rsid w:val="007C3A04"/>
    <w:rsid w:val="007C66B5"/>
    <w:rsid w:val="007D1379"/>
    <w:rsid w:val="007D19C7"/>
    <w:rsid w:val="007D7997"/>
    <w:rsid w:val="007E0AEF"/>
    <w:rsid w:val="007E1ADE"/>
    <w:rsid w:val="007E2F35"/>
    <w:rsid w:val="007E727F"/>
    <w:rsid w:val="007F062E"/>
    <w:rsid w:val="007F677E"/>
    <w:rsid w:val="00802814"/>
    <w:rsid w:val="00802BF1"/>
    <w:rsid w:val="0080562B"/>
    <w:rsid w:val="0080687D"/>
    <w:rsid w:val="0080719C"/>
    <w:rsid w:val="008120FB"/>
    <w:rsid w:val="0081442F"/>
    <w:rsid w:val="0081522E"/>
    <w:rsid w:val="00820C92"/>
    <w:rsid w:val="00822791"/>
    <w:rsid w:val="00825D6D"/>
    <w:rsid w:val="008300B0"/>
    <w:rsid w:val="00832311"/>
    <w:rsid w:val="008326F4"/>
    <w:rsid w:val="008327D8"/>
    <w:rsid w:val="00832DAF"/>
    <w:rsid w:val="00836B31"/>
    <w:rsid w:val="008476B7"/>
    <w:rsid w:val="00853746"/>
    <w:rsid w:val="00854FA8"/>
    <w:rsid w:val="008571C3"/>
    <w:rsid w:val="00860DD6"/>
    <w:rsid w:val="00866C18"/>
    <w:rsid w:val="008670DC"/>
    <w:rsid w:val="008722E4"/>
    <w:rsid w:val="00873888"/>
    <w:rsid w:val="008744BF"/>
    <w:rsid w:val="008746F4"/>
    <w:rsid w:val="008769AD"/>
    <w:rsid w:val="00882510"/>
    <w:rsid w:val="00890835"/>
    <w:rsid w:val="008926EB"/>
    <w:rsid w:val="00894BCB"/>
    <w:rsid w:val="0089770A"/>
    <w:rsid w:val="00897B38"/>
    <w:rsid w:val="008A2E37"/>
    <w:rsid w:val="008A50D3"/>
    <w:rsid w:val="008A61F2"/>
    <w:rsid w:val="008A767A"/>
    <w:rsid w:val="008B0BD0"/>
    <w:rsid w:val="008B475D"/>
    <w:rsid w:val="008B52B2"/>
    <w:rsid w:val="008B5A69"/>
    <w:rsid w:val="008B6921"/>
    <w:rsid w:val="008C0E3B"/>
    <w:rsid w:val="008C1692"/>
    <w:rsid w:val="008C2DFD"/>
    <w:rsid w:val="008C4215"/>
    <w:rsid w:val="008C5499"/>
    <w:rsid w:val="008C6869"/>
    <w:rsid w:val="008D19A8"/>
    <w:rsid w:val="008D27E5"/>
    <w:rsid w:val="008D4A79"/>
    <w:rsid w:val="008D4CAD"/>
    <w:rsid w:val="008D55F6"/>
    <w:rsid w:val="008D5BD2"/>
    <w:rsid w:val="008D623C"/>
    <w:rsid w:val="008D7040"/>
    <w:rsid w:val="008E514A"/>
    <w:rsid w:val="008F0274"/>
    <w:rsid w:val="008F5555"/>
    <w:rsid w:val="008F592B"/>
    <w:rsid w:val="008F7534"/>
    <w:rsid w:val="0090190A"/>
    <w:rsid w:val="00903EA6"/>
    <w:rsid w:val="00904FA4"/>
    <w:rsid w:val="009067A7"/>
    <w:rsid w:val="0091322F"/>
    <w:rsid w:val="00917B79"/>
    <w:rsid w:val="00917E1E"/>
    <w:rsid w:val="00922153"/>
    <w:rsid w:val="009231C2"/>
    <w:rsid w:val="009234C2"/>
    <w:rsid w:val="00924962"/>
    <w:rsid w:val="009317D3"/>
    <w:rsid w:val="0093201A"/>
    <w:rsid w:val="00935531"/>
    <w:rsid w:val="00943B98"/>
    <w:rsid w:val="009440B5"/>
    <w:rsid w:val="00946199"/>
    <w:rsid w:val="009478C5"/>
    <w:rsid w:val="00951719"/>
    <w:rsid w:val="009537CF"/>
    <w:rsid w:val="00956DE1"/>
    <w:rsid w:val="0096214D"/>
    <w:rsid w:val="009636AC"/>
    <w:rsid w:val="00965932"/>
    <w:rsid w:val="00970158"/>
    <w:rsid w:val="009705C8"/>
    <w:rsid w:val="00972F79"/>
    <w:rsid w:val="00975D30"/>
    <w:rsid w:val="00976E95"/>
    <w:rsid w:val="00976F00"/>
    <w:rsid w:val="00977487"/>
    <w:rsid w:val="0097778E"/>
    <w:rsid w:val="00986616"/>
    <w:rsid w:val="009926FA"/>
    <w:rsid w:val="00997414"/>
    <w:rsid w:val="009A0344"/>
    <w:rsid w:val="009A1572"/>
    <w:rsid w:val="009A2812"/>
    <w:rsid w:val="009A4953"/>
    <w:rsid w:val="009B5424"/>
    <w:rsid w:val="009C47B4"/>
    <w:rsid w:val="009C5EBB"/>
    <w:rsid w:val="009C62F1"/>
    <w:rsid w:val="009C75B7"/>
    <w:rsid w:val="009D051B"/>
    <w:rsid w:val="009D46F9"/>
    <w:rsid w:val="009D5F54"/>
    <w:rsid w:val="009E18C6"/>
    <w:rsid w:val="009E2268"/>
    <w:rsid w:val="009E2F5D"/>
    <w:rsid w:val="009E42DE"/>
    <w:rsid w:val="009E5898"/>
    <w:rsid w:val="009E60A7"/>
    <w:rsid w:val="009E6EBB"/>
    <w:rsid w:val="009E744B"/>
    <w:rsid w:val="009F1224"/>
    <w:rsid w:val="009F1288"/>
    <w:rsid w:val="009F2BF4"/>
    <w:rsid w:val="009F4CB0"/>
    <w:rsid w:val="009F6D9F"/>
    <w:rsid w:val="00A03817"/>
    <w:rsid w:val="00A1548A"/>
    <w:rsid w:val="00A16E63"/>
    <w:rsid w:val="00A179B3"/>
    <w:rsid w:val="00A20376"/>
    <w:rsid w:val="00A20B95"/>
    <w:rsid w:val="00A2120B"/>
    <w:rsid w:val="00A2236D"/>
    <w:rsid w:val="00A242A8"/>
    <w:rsid w:val="00A247C3"/>
    <w:rsid w:val="00A26303"/>
    <w:rsid w:val="00A333B0"/>
    <w:rsid w:val="00A36E6B"/>
    <w:rsid w:val="00A40B24"/>
    <w:rsid w:val="00A42237"/>
    <w:rsid w:val="00A43D8D"/>
    <w:rsid w:val="00A56761"/>
    <w:rsid w:val="00A60CE0"/>
    <w:rsid w:val="00A621E2"/>
    <w:rsid w:val="00A62A52"/>
    <w:rsid w:val="00A657D2"/>
    <w:rsid w:val="00A704D0"/>
    <w:rsid w:val="00A730A1"/>
    <w:rsid w:val="00A755C7"/>
    <w:rsid w:val="00A77A8F"/>
    <w:rsid w:val="00A81A8D"/>
    <w:rsid w:val="00A81F75"/>
    <w:rsid w:val="00A83C4D"/>
    <w:rsid w:val="00A85E74"/>
    <w:rsid w:val="00A85EF2"/>
    <w:rsid w:val="00A87442"/>
    <w:rsid w:val="00A901A7"/>
    <w:rsid w:val="00A91620"/>
    <w:rsid w:val="00A9550A"/>
    <w:rsid w:val="00A97DD8"/>
    <w:rsid w:val="00AA09B9"/>
    <w:rsid w:val="00AA39BE"/>
    <w:rsid w:val="00AA7C9D"/>
    <w:rsid w:val="00AB1281"/>
    <w:rsid w:val="00AB40C7"/>
    <w:rsid w:val="00AB74FF"/>
    <w:rsid w:val="00AC0F10"/>
    <w:rsid w:val="00AC2470"/>
    <w:rsid w:val="00AD0561"/>
    <w:rsid w:val="00AD14C6"/>
    <w:rsid w:val="00AD4B25"/>
    <w:rsid w:val="00AD6616"/>
    <w:rsid w:val="00AD6A54"/>
    <w:rsid w:val="00AD7BE3"/>
    <w:rsid w:val="00AE217D"/>
    <w:rsid w:val="00AF114A"/>
    <w:rsid w:val="00AF2128"/>
    <w:rsid w:val="00AF3CF3"/>
    <w:rsid w:val="00AF69E1"/>
    <w:rsid w:val="00AF6D91"/>
    <w:rsid w:val="00AF7A58"/>
    <w:rsid w:val="00B03202"/>
    <w:rsid w:val="00B04D64"/>
    <w:rsid w:val="00B05F20"/>
    <w:rsid w:val="00B07275"/>
    <w:rsid w:val="00B073BA"/>
    <w:rsid w:val="00B12DD3"/>
    <w:rsid w:val="00B12E90"/>
    <w:rsid w:val="00B2140E"/>
    <w:rsid w:val="00B25042"/>
    <w:rsid w:val="00B25700"/>
    <w:rsid w:val="00B271BC"/>
    <w:rsid w:val="00B307AE"/>
    <w:rsid w:val="00B31877"/>
    <w:rsid w:val="00B32C53"/>
    <w:rsid w:val="00B40B02"/>
    <w:rsid w:val="00B44A46"/>
    <w:rsid w:val="00B459BA"/>
    <w:rsid w:val="00B45DA0"/>
    <w:rsid w:val="00B47DFB"/>
    <w:rsid w:val="00B5435B"/>
    <w:rsid w:val="00B61E89"/>
    <w:rsid w:val="00B7239F"/>
    <w:rsid w:val="00B72661"/>
    <w:rsid w:val="00B8350B"/>
    <w:rsid w:val="00B83EF0"/>
    <w:rsid w:val="00B84BCB"/>
    <w:rsid w:val="00B85166"/>
    <w:rsid w:val="00B8669E"/>
    <w:rsid w:val="00B921A7"/>
    <w:rsid w:val="00B940A1"/>
    <w:rsid w:val="00B971E7"/>
    <w:rsid w:val="00B97241"/>
    <w:rsid w:val="00BA2A38"/>
    <w:rsid w:val="00BA30A2"/>
    <w:rsid w:val="00BA7F5C"/>
    <w:rsid w:val="00BB1256"/>
    <w:rsid w:val="00BB2BF1"/>
    <w:rsid w:val="00BB2CFF"/>
    <w:rsid w:val="00BB387B"/>
    <w:rsid w:val="00BB64BA"/>
    <w:rsid w:val="00BC13A8"/>
    <w:rsid w:val="00BC1F39"/>
    <w:rsid w:val="00BC2360"/>
    <w:rsid w:val="00BC2B3D"/>
    <w:rsid w:val="00BC38D5"/>
    <w:rsid w:val="00BC5762"/>
    <w:rsid w:val="00BC5C6C"/>
    <w:rsid w:val="00BC7216"/>
    <w:rsid w:val="00BD013D"/>
    <w:rsid w:val="00BD0435"/>
    <w:rsid w:val="00BD2415"/>
    <w:rsid w:val="00BD4406"/>
    <w:rsid w:val="00BD7941"/>
    <w:rsid w:val="00BE036B"/>
    <w:rsid w:val="00BE0D81"/>
    <w:rsid w:val="00BE38BC"/>
    <w:rsid w:val="00BE3B39"/>
    <w:rsid w:val="00BE7872"/>
    <w:rsid w:val="00BF10A0"/>
    <w:rsid w:val="00BF210B"/>
    <w:rsid w:val="00BF29E8"/>
    <w:rsid w:val="00C01B5A"/>
    <w:rsid w:val="00C04789"/>
    <w:rsid w:val="00C05853"/>
    <w:rsid w:val="00C0671D"/>
    <w:rsid w:val="00C07919"/>
    <w:rsid w:val="00C10B38"/>
    <w:rsid w:val="00C15588"/>
    <w:rsid w:val="00C16AB6"/>
    <w:rsid w:val="00C21C01"/>
    <w:rsid w:val="00C24DD1"/>
    <w:rsid w:val="00C26465"/>
    <w:rsid w:val="00C30A15"/>
    <w:rsid w:val="00C311B1"/>
    <w:rsid w:val="00C34697"/>
    <w:rsid w:val="00C34F88"/>
    <w:rsid w:val="00C40BC2"/>
    <w:rsid w:val="00C43B16"/>
    <w:rsid w:val="00C44413"/>
    <w:rsid w:val="00C4718E"/>
    <w:rsid w:val="00C53D19"/>
    <w:rsid w:val="00C56988"/>
    <w:rsid w:val="00C61EC0"/>
    <w:rsid w:val="00C64155"/>
    <w:rsid w:val="00C64533"/>
    <w:rsid w:val="00C67816"/>
    <w:rsid w:val="00C70D06"/>
    <w:rsid w:val="00C73C98"/>
    <w:rsid w:val="00C832AB"/>
    <w:rsid w:val="00C8417F"/>
    <w:rsid w:val="00C86271"/>
    <w:rsid w:val="00C8699A"/>
    <w:rsid w:val="00C86BA3"/>
    <w:rsid w:val="00C87AC2"/>
    <w:rsid w:val="00C87F4A"/>
    <w:rsid w:val="00C91291"/>
    <w:rsid w:val="00C9227C"/>
    <w:rsid w:val="00CA1E19"/>
    <w:rsid w:val="00CA598E"/>
    <w:rsid w:val="00CA62C6"/>
    <w:rsid w:val="00CA745E"/>
    <w:rsid w:val="00CA79A4"/>
    <w:rsid w:val="00CB0742"/>
    <w:rsid w:val="00CB5523"/>
    <w:rsid w:val="00CB700C"/>
    <w:rsid w:val="00CC08C4"/>
    <w:rsid w:val="00CC145D"/>
    <w:rsid w:val="00CC15EE"/>
    <w:rsid w:val="00CC18F9"/>
    <w:rsid w:val="00CD21A4"/>
    <w:rsid w:val="00CD4F48"/>
    <w:rsid w:val="00CD5E72"/>
    <w:rsid w:val="00CE23F6"/>
    <w:rsid w:val="00CE2BED"/>
    <w:rsid w:val="00CE5AB3"/>
    <w:rsid w:val="00CE75A4"/>
    <w:rsid w:val="00CF41CC"/>
    <w:rsid w:val="00CF511F"/>
    <w:rsid w:val="00CF7889"/>
    <w:rsid w:val="00D067B1"/>
    <w:rsid w:val="00D06979"/>
    <w:rsid w:val="00D126E8"/>
    <w:rsid w:val="00D14A88"/>
    <w:rsid w:val="00D155C8"/>
    <w:rsid w:val="00D15991"/>
    <w:rsid w:val="00D21828"/>
    <w:rsid w:val="00D22C3B"/>
    <w:rsid w:val="00D25B4E"/>
    <w:rsid w:val="00D25DBF"/>
    <w:rsid w:val="00D265FE"/>
    <w:rsid w:val="00D3053A"/>
    <w:rsid w:val="00D35529"/>
    <w:rsid w:val="00D35D02"/>
    <w:rsid w:val="00D35DE2"/>
    <w:rsid w:val="00D37FCF"/>
    <w:rsid w:val="00D40553"/>
    <w:rsid w:val="00D43B85"/>
    <w:rsid w:val="00D43EF2"/>
    <w:rsid w:val="00D450EC"/>
    <w:rsid w:val="00D45883"/>
    <w:rsid w:val="00D51F12"/>
    <w:rsid w:val="00D52BDC"/>
    <w:rsid w:val="00D61336"/>
    <w:rsid w:val="00D66BB5"/>
    <w:rsid w:val="00D70F2F"/>
    <w:rsid w:val="00D741DA"/>
    <w:rsid w:val="00D754F6"/>
    <w:rsid w:val="00D7663C"/>
    <w:rsid w:val="00D778B8"/>
    <w:rsid w:val="00D82345"/>
    <w:rsid w:val="00D8303E"/>
    <w:rsid w:val="00D8344B"/>
    <w:rsid w:val="00D838B0"/>
    <w:rsid w:val="00D8434A"/>
    <w:rsid w:val="00D846D3"/>
    <w:rsid w:val="00D868A8"/>
    <w:rsid w:val="00D875FF"/>
    <w:rsid w:val="00D90513"/>
    <w:rsid w:val="00D9051D"/>
    <w:rsid w:val="00D924C6"/>
    <w:rsid w:val="00D927BC"/>
    <w:rsid w:val="00D93231"/>
    <w:rsid w:val="00D974FD"/>
    <w:rsid w:val="00DA0B44"/>
    <w:rsid w:val="00DA3040"/>
    <w:rsid w:val="00DA4EEA"/>
    <w:rsid w:val="00DA7F66"/>
    <w:rsid w:val="00DB04D6"/>
    <w:rsid w:val="00DB08BF"/>
    <w:rsid w:val="00DB1289"/>
    <w:rsid w:val="00DB17E3"/>
    <w:rsid w:val="00DB2226"/>
    <w:rsid w:val="00DB2F94"/>
    <w:rsid w:val="00DC35D4"/>
    <w:rsid w:val="00DC46C9"/>
    <w:rsid w:val="00DD03E2"/>
    <w:rsid w:val="00DD0CDD"/>
    <w:rsid w:val="00DD10C4"/>
    <w:rsid w:val="00DE0735"/>
    <w:rsid w:val="00DE151F"/>
    <w:rsid w:val="00DE301D"/>
    <w:rsid w:val="00DF2219"/>
    <w:rsid w:val="00DF3D92"/>
    <w:rsid w:val="00DF7BD8"/>
    <w:rsid w:val="00DF7D05"/>
    <w:rsid w:val="00E04FE5"/>
    <w:rsid w:val="00E057BB"/>
    <w:rsid w:val="00E05D06"/>
    <w:rsid w:val="00E163F7"/>
    <w:rsid w:val="00E1752D"/>
    <w:rsid w:val="00E17CB7"/>
    <w:rsid w:val="00E23456"/>
    <w:rsid w:val="00E255B6"/>
    <w:rsid w:val="00E25746"/>
    <w:rsid w:val="00E267D8"/>
    <w:rsid w:val="00E305A8"/>
    <w:rsid w:val="00E31235"/>
    <w:rsid w:val="00E3493D"/>
    <w:rsid w:val="00E36D24"/>
    <w:rsid w:val="00E37151"/>
    <w:rsid w:val="00E403FA"/>
    <w:rsid w:val="00E41B8B"/>
    <w:rsid w:val="00E42D1E"/>
    <w:rsid w:val="00E50802"/>
    <w:rsid w:val="00E550B0"/>
    <w:rsid w:val="00E56F3A"/>
    <w:rsid w:val="00E62677"/>
    <w:rsid w:val="00E64A28"/>
    <w:rsid w:val="00E71670"/>
    <w:rsid w:val="00E721EC"/>
    <w:rsid w:val="00E758E6"/>
    <w:rsid w:val="00E80BAC"/>
    <w:rsid w:val="00E80EDF"/>
    <w:rsid w:val="00E81519"/>
    <w:rsid w:val="00E81F2B"/>
    <w:rsid w:val="00E8203A"/>
    <w:rsid w:val="00E87E1C"/>
    <w:rsid w:val="00E95160"/>
    <w:rsid w:val="00E961DA"/>
    <w:rsid w:val="00E97A7E"/>
    <w:rsid w:val="00EA2B17"/>
    <w:rsid w:val="00EA2FD9"/>
    <w:rsid w:val="00EB1080"/>
    <w:rsid w:val="00EB1B90"/>
    <w:rsid w:val="00EB3FAD"/>
    <w:rsid w:val="00EB56FB"/>
    <w:rsid w:val="00ED21BE"/>
    <w:rsid w:val="00EE23B2"/>
    <w:rsid w:val="00EF39D0"/>
    <w:rsid w:val="00EF4025"/>
    <w:rsid w:val="00EF5AA5"/>
    <w:rsid w:val="00EF6A16"/>
    <w:rsid w:val="00F00BA5"/>
    <w:rsid w:val="00F01D7E"/>
    <w:rsid w:val="00F03D56"/>
    <w:rsid w:val="00F04354"/>
    <w:rsid w:val="00F119E5"/>
    <w:rsid w:val="00F15BB3"/>
    <w:rsid w:val="00F1696D"/>
    <w:rsid w:val="00F17356"/>
    <w:rsid w:val="00F17C15"/>
    <w:rsid w:val="00F20168"/>
    <w:rsid w:val="00F20DA8"/>
    <w:rsid w:val="00F2274D"/>
    <w:rsid w:val="00F24150"/>
    <w:rsid w:val="00F24C9F"/>
    <w:rsid w:val="00F26A2B"/>
    <w:rsid w:val="00F26BB2"/>
    <w:rsid w:val="00F27A23"/>
    <w:rsid w:val="00F27ED7"/>
    <w:rsid w:val="00F31DE9"/>
    <w:rsid w:val="00F33F02"/>
    <w:rsid w:val="00F34898"/>
    <w:rsid w:val="00F42B50"/>
    <w:rsid w:val="00F4443C"/>
    <w:rsid w:val="00F509AA"/>
    <w:rsid w:val="00F6169F"/>
    <w:rsid w:val="00F628E1"/>
    <w:rsid w:val="00F66E92"/>
    <w:rsid w:val="00F6700A"/>
    <w:rsid w:val="00F70581"/>
    <w:rsid w:val="00F73967"/>
    <w:rsid w:val="00F75821"/>
    <w:rsid w:val="00F75892"/>
    <w:rsid w:val="00F768F6"/>
    <w:rsid w:val="00F77A21"/>
    <w:rsid w:val="00F80189"/>
    <w:rsid w:val="00F82735"/>
    <w:rsid w:val="00F848D8"/>
    <w:rsid w:val="00F84A5A"/>
    <w:rsid w:val="00F871A5"/>
    <w:rsid w:val="00F87A2F"/>
    <w:rsid w:val="00F9067A"/>
    <w:rsid w:val="00F92FD4"/>
    <w:rsid w:val="00F93B2F"/>
    <w:rsid w:val="00F94428"/>
    <w:rsid w:val="00F944FF"/>
    <w:rsid w:val="00F96507"/>
    <w:rsid w:val="00F97A2D"/>
    <w:rsid w:val="00FA0AE2"/>
    <w:rsid w:val="00FA12A7"/>
    <w:rsid w:val="00FA2357"/>
    <w:rsid w:val="00FA491D"/>
    <w:rsid w:val="00FA5015"/>
    <w:rsid w:val="00FA77BB"/>
    <w:rsid w:val="00FB051D"/>
    <w:rsid w:val="00FB2057"/>
    <w:rsid w:val="00FB5DBE"/>
    <w:rsid w:val="00FB5F18"/>
    <w:rsid w:val="00FB6A70"/>
    <w:rsid w:val="00FB7346"/>
    <w:rsid w:val="00FB7455"/>
    <w:rsid w:val="00FC1D03"/>
    <w:rsid w:val="00FC2926"/>
    <w:rsid w:val="00FC4D89"/>
    <w:rsid w:val="00FC55C4"/>
    <w:rsid w:val="00FC5A7A"/>
    <w:rsid w:val="00FC7213"/>
    <w:rsid w:val="00FD006E"/>
    <w:rsid w:val="00FD09E2"/>
    <w:rsid w:val="00FD2313"/>
    <w:rsid w:val="00FD2C5E"/>
    <w:rsid w:val="00FD30FA"/>
    <w:rsid w:val="00FD42DA"/>
    <w:rsid w:val="00FD5B3C"/>
    <w:rsid w:val="00FD5D58"/>
    <w:rsid w:val="00FD7682"/>
    <w:rsid w:val="00FE0743"/>
    <w:rsid w:val="00FE1057"/>
    <w:rsid w:val="00FE132C"/>
    <w:rsid w:val="00FE1771"/>
    <w:rsid w:val="00FE40E6"/>
    <w:rsid w:val="00FE4691"/>
    <w:rsid w:val="00FE55D8"/>
    <w:rsid w:val="00FE5D18"/>
    <w:rsid w:val="00FE670E"/>
    <w:rsid w:val="00FF34C4"/>
    <w:rsid w:val="00FF4AC6"/>
    <w:rsid w:val="00FF54BD"/>
    <w:rsid w:val="00FF5AF1"/>
    <w:rsid w:val="00FF66A3"/>
    <w:rsid w:val="016515CC"/>
    <w:rsid w:val="02003E62"/>
    <w:rsid w:val="020A2568"/>
    <w:rsid w:val="02895B83"/>
    <w:rsid w:val="029307AF"/>
    <w:rsid w:val="04163446"/>
    <w:rsid w:val="04E35A1E"/>
    <w:rsid w:val="059705B7"/>
    <w:rsid w:val="05EA4B8A"/>
    <w:rsid w:val="06923BA7"/>
    <w:rsid w:val="06DD3268"/>
    <w:rsid w:val="06E11AE9"/>
    <w:rsid w:val="07C05BA3"/>
    <w:rsid w:val="07D653C6"/>
    <w:rsid w:val="08005FEA"/>
    <w:rsid w:val="081128A2"/>
    <w:rsid w:val="086C5D2B"/>
    <w:rsid w:val="08874912"/>
    <w:rsid w:val="09724F9F"/>
    <w:rsid w:val="09D973F0"/>
    <w:rsid w:val="09DA6CC4"/>
    <w:rsid w:val="0A03621B"/>
    <w:rsid w:val="0A200B7B"/>
    <w:rsid w:val="0A312D88"/>
    <w:rsid w:val="0A6749FB"/>
    <w:rsid w:val="0B705B32"/>
    <w:rsid w:val="0B7B6C7D"/>
    <w:rsid w:val="0B90309C"/>
    <w:rsid w:val="0BAD28E2"/>
    <w:rsid w:val="0C8F2979"/>
    <w:rsid w:val="0C9D2956"/>
    <w:rsid w:val="0CD55BEF"/>
    <w:rsid w:val="0CDB347F"/>
    <w:rsid w:val="0DAD509E"/>
    <w:rsid w:val="0E9B2EC6"/>
    <w:rsid w:val="0EC0292C"/>
    <w:rsid w:val="0F525AA8"/>
    <w:rsid w:val="0F6D4D62"/>
    <w:rsid w:val="0F7F00F1"/>
    <w:rsid w:val="0FE32D76"/>
    <w:rsid w:val="0FF22FB9"/>
    <w:rsid w:val="10C06C14"/>
    <w:rsid w:val="11E76494"/>
    <w:rsid w:val="12331667"/>
    <w:rsid w:val="1256055F"/>
    <w:rsid w:val="12665599"/>
    <w:rsid w:val="129C720C"/>
    <w:rsid w:val="12BE7A0F"/>
    <w:rsid w:val="131B2827"/>
    <w:rsid w:val="13547AE7"/>
    <w:rsid w:val="13A10F7E"/>
    <w:rsid w:val="13F35F7A"/>
    <w:rsid w:val="1461070D"/>
    <w:rsid w:val="14C12F5A"/>
    <w:rsid w:val="14DC7D94"/>
    <w:rsid w:val="157F6158"/>
    <w:rsid w:val="15836462"/>
    <w:rsid w:val="1629525B"/>
    <w:rsid w:val="163836F0"/>
    <w:rsid w:val="1653052A"/>
    <w:rsid w:val="16F72C63"/>
    <w:rsid w:val="17543E23"/>
    <w:rsid w:val="177C40AA"/>
    <w:rsid w:val="17B1375A"/>
    <w:rsid w:val="17F13B56"/>
    <w:rsid w:val="17F17FFA"/>
    <w:rsid w:val="18FE1560"/>
    <w:rsid w:val="19566367"/>
    <w:rsid w:val="1A332151"/>
    <w:rsid w:val="1A703458"/>
    <w:rsid w:val="1A7171D0"/>
    <w:rsid w:val="1AEE25CF"/>
    <w:rsid w:val="1B171B26"/>
    <w:rsid w:val="1B430B6D"/>
    <w:rsid w:val="1BD17F27"/>
    <w:rsid w:val="1C314E69"/>
    <w:rsid w:val="1C3404B6"/>
    <w:rsid w:val="1D3C3403"/>
    <w:rsid w:val="1D721295"/>
    <w:rsid w:val="1D7C2114"/>
    <w:rsid w:val="1D8D60CF"/>
    <w:rsid w:val="1D9A07EC"/>
    <w:rsid w:val="1DB45D52"/>
    <w:rsid w:val="1E087E4C"/>
    <w:rsid w:val="1E2F362A"/>
    <w:rsid w:val="1EB4768C"/>
    <w:rsid w:val="1F617895"/>
    <w:rsid w:val="1F9E2816"/>
    <w:rsid w:val="1FF16DE9"/>
    <w:rsid w:val="1FF91454"/>
    <w:rsid w:val="20857532"/>
    <w:rsid w:val="20EB251E"/>
    <w:rsid w:val="21E8421C"/>
    <w:rsid w:val="22121299"/>
    <w:rsid w:val="224A0A33"/>
    <w:rsid w:val="22680EB9"/>
    <w:rsid w:val="239D1036"/>
    <w:rsid w:val="243E45C7"/>
    <w:rsid w:val="24773635"/>
    <w:rsid w:val="247D5187"/>
    <w:rsid w:val="2483022C"/>
    <w:rsid w:val="24E8008F"/>
    <w:rsid w:val="25E92311"/>
    <w:rsid w:val="26500679"/>
    <w:rsid w:val="26773DC1"/>
    <w:rsid w:val="268528D3"/>
    <w:rsid w:val="26891855"/>
    <w:rsid w:val="26B11081"/>
    <w:rsid w:val="26B1396B"/>
    <w:rsid w:val="26D73D12"/>
    <w:rsid w:val="280A46A6"/>
    <w:rsid w:val="286279AB"/>
    <w:rsid w:val="289E3886"/>
    <w:rsid w:val="28EA087A"/>
    <w:rsid w:val="29622B06"/>
    <w:rsid w:val="29CE019B"/>
    <w:rsid w:val="2A994305"/>
    <w:rsid w:val="2AD96DF8"/>
    <w:rsid w:val="2B036C55"/>
    <w:rsid w:val="2B1C4F36"/>
    <w:rsid w:val="2C484235"/>
    <w:rsid w:val="2C8132A3"/>
    <w:rsid w:val="2C862667"/>
    <w:rsid w:val="2CA518CE"/>
    <w:rsid w:val="2DBA2F11"/>
    <w:rsid w:val="2DCF003E"/>
    <w:rsid w:val="2E026666"/>
    <w:rsid w:val="2E5C5D76"/>
    <w:rsid w:val="2E702763"/>
    <w:rsid w:val="2EE537B8"/>
    <w:rsid w:val="3034687E"/>
    <w:rsid w:val="305E75A7"/>
    <w:rsid w:val="30717AD3"/>
    <w:rsid w:val="30B31E99"/>
    <w:rsid w:val="30B55C11"/>
    <w:rsid w:val="30E3277E"/>
    <w:rsid w:val="30FA1876"/>
    <w:rsid w:val="316B62D0"/>
    <w:rsid w:val="32821B23"/>
    <w:rsid w:val="32A221C5"/>
    <w:rsid w:val="32C263C3"/>
    <w:rsid w:val="32FF4F22"/>
    <w:rsid w:val="33182487"/>
    <w:rsid w:val="33552D94"/>
    <w:rsid w:val="33B65F28"/>
    <w:rsid w:val="343B642D"/>
    <w:rsid w:val="34AC732B"/>
    <w:rsid w:val="34CD1296"/>
    <w:rsid w:val="34F82570"/>
    <w:rsid w:val="36963DEF"/>
    <w:rsid w:val="37773C20"/>
    <w:rsid w:val="37F012DD"/>
    <w:rsid w:val="389600D6"/>
    <w:rsid w:val="38D46E50"/>
    <w:rsid w:val="396E4BAF"/>
    <w:rsid w:val="39981C2C"/>
    <w:rsid w:val="39A20CFD"/>
    <w:rsid w:val="39DC420F"/>
    <w:rsid w:val="3A044007"/>
    <w:rsid w:val="3ABA492F"/>
    <w:rsid w:val="3AC23405"/>
    <w:rsid w:val="3AC30F2B"/>
    <w:rsid w:val="3B5129DA"/>
    <w:rsid w:val="3B6F4C0F"/>
    <w:rsid w:val="3BC92571"/>
    <w:rsid w:val="3C2241C8"/>
    <w:rsid w:val="3CCA034E"/>
    <w:rsid w:val="3CF551EC"/>
    <w:rsid w:val="3D1D2B74"/>
    <w:rsid w:val="3D7B5AED"/>
    <w:rsid w:val="3DE2791A"/>
    <w:rsid w:val="3E047890"/>
    <w:rsid w:val="3E410AE4"/>
    <w:rsid w:val="3E4B3711"/>
    <w:rsid w:val="3EDF74EC"/>
    <w:rsid w:val="3F7647BE"/>
    <w:rsid w:val="3FA1052C"/>
    <w:rsid w:val="3FFD6C8D"/>
    <w:rsid w:val="40534AFF"/>
    <w:rsid w:val="40774C91"/>
    <w:rsid w:val="40AB66E9"/>
    <w:rsid w:val="40B56D43"/>
    <w:rsid w:val="41160006"/>
    <w:rsid w:val="41202C33"/>
    <w:rsid w:val="416845DA"/>
    <w:rsid w:val="41DF2A51"/>
    <w:rsid w:val="420F6926"/>
    <w:rsid w:val="4278084D"/>
    <w:rsid w:val="42974749"/>
    <w:rsid w:val="42C10446"/>
    <w:rsid w:val="439711A6"/>
    <w:rsid w:val="43AE0E16"/>
    <w:rsid w:val="43BD6E5F"/>
    <w:rsid w:val="43E443EC"/>
    <w:rsid w:val="443D01F2"/>
    <w:rsid w:val="444C656B"/>
    <w:rsid w:val="44BF6C07"/>
    <w:rsid w:val="44CE67D1"/>
    <w:rsid w:val="44E126D9"/>
    <w:rsid w:val="45765517"/>
    <w:rsid w:val="45D73ADC"/>
    <w:rsid w:val="460C19D8"/>
    <w:rsid w:val="4642526F"/>
    <w:rsid w:val="466C2476"/>
    <w:rsid w:val="472114B3"/>
    <w:rsid w:val="48205C0E"/>
    <w:rsid w:val="48A83656"/>
    <w:rsid w:val="490B241B"/>
    <w:rsid w:val="491A08B0"/>
    <w:rsid w:val="4A4D4117"/>
    <w:rsid w:val="4A7D2EA4"/>
    <w:rsid w:val="4AA04DE4"/>
    <w:rsid w:val="4AB205C4"/>
    <w:rsid w:val="4BCF3BD3"/>
    <w:rsid w:val="4BFA0524"/>
    <w:rsid w:val="4D0E095C"/>
    <w:rsid w:val="4DAC1BAF"/>
    <w:rsid w:val="4DC40DEA"/>
    <w:rsid w:val="4E6A7B35"/>
    <w:rsid w:val="4EC372F3"/>
    <w:rsid w:val="4EFD49A0"/>
    <w:rsid w:val="4F3B1580"/>
    <w:rsid w:val="4F6832EC"/>
    <w:rsid w:val="4FE17A31"/>
    <w:rsid w:val="500876B4"/>
    <w:rsid w:val="5038001C"/>
    <w:rsid w:val="51736DAF"/>
    <w:rsid w:val="5193786B"/>
    <w:rsid w:val="519C4558"/>
    <w:rsid w:val="51D33CF1"/>
    <w:rsid w:val="51DA6E2E"/>
    <w:rsid w:val="524F15CA"/>
    <w:rsid w:val="52AD62F0"/>
    <w:rsid w:val="52C0799A"/>
    <w:rsid w:val="52DB2E5E"/>
    <w:rsid w:val="53DF24DA"/>
    <w:rsid w:val="54624EB9"/>
    <w:rsid w:val="549E6D8F"/>
    <w:rsid w:val="54FE2E33"/>
    <w:rsid w:val="5527238A"/>
    <w:rsid w:val="553F7E15"/>
    <w:rsid w:val="555313D1"/>
    <w:rsid w:val="555962BC"/>
    <w:rsid w:val="555E38D2"/>
    <w:rsid w:val="55C72A52"/>
    <w:rsid w:val="56D007FF"/>
    <w:rsid w:val="57013861"/>
    <w:rsid w:val="57266671"/>
    <w:rsid w:val="57315742"/>
    <w:rsid w:val="574134AB"/>
    <w:rsid w:val="574C257C"/>
    <w:rsid w:val="57640003"/>
    <w:rsid w:val="57684EDC"/>
    <w:rsid w:val="577C44E3"/>
    <w:rsid w:val="57B4339D"/>
    <w:rsid w:val="5822790B"/>
    <w:rsid w:val="58DC348C"/>
    <w:rsid w:val="59183C0C"/>
    <w:rsid w:val="596F4300"/>
    <w:rsid w:val="59B85CA7"/>
    <w:rsid w:val="59C4289D"/>
    <w:rsid w:val="5A7A11AE"/>
    <w:rsid w:val="5AB3021C"/>
    <w:rsid w:val="5AFC6B7E"/>
    <w:rsid w:val="5BE70AC5"/>
    <w:rsid w:val="5BED3C02"/>
    <w:rsid w:val="5C2A6C04"/>
    <w:rsid w:val="5CC93D27"/>
    <w:rsid w:val="5CD64696"/>
    <w:rsid w:val="5D0E3E30"/>
    <w:rsid w:val="5D325D70"/>
    <w:rsid w:val="5D3E4715"/>
    <w:rsid w:val="5D724A77"/>
    <w:rsid w:val="5DBE5856"/>
    <w:rsid w:val="5DC32E6C"/>
    <w:rsid w:val="5DD04BD2"/>
    <w:rsid w:val="5DF72B16"/>
    <w:rsid w:val="5E4775F9"/>
    <w:rsid w:val="5EB86749"/>
    <w:rsid w:val="5EEE37CD"/>
    <w:rsid w:val="5F990037"/>
    <w:rsid w:val="5FF36B40"/>
    <w:rsid w:val="60234096"/>
    <w:rsid w:val="6096034E"/>
    <w:rsid w:val="609868E2"/>
    <w:rsid w:val="60A30D33"/>
    <w:rsid w:val="60C44DAC"/>
    <w:rsid w:val="60E6759D"/>
    <w:rsid w:val="61DD03FB"/>
    <w:rsid w:val="61F45CEA"/>
    <w:rsid w:val="61F94C3C"/>
    <w:rsid w:val="62326812"/>
    <w:rsid w:val="62377985"/>
    <w:rsid w:val="62943029"/>
    <w:rsid w:val="62B4217D"/>
    <w:rsid w:val="62FF4946"/>
    <w:rsid w:val="63604CB9"/>
    <w:rsid w:val="639A466F"/>
    <w:rsid w:val="63E853DA"/>
    <w:rsid w:val="63FD0A03"/>
    <w:rsid w:val="64426017"/>
    <w:rsid w:val="644B7717"/>
    <w:rsid w:val="647E5D3F"/>
    <w:rsid w:val="64AC28AC"/>
    <w:rsid w:val="64D0073B"/>
    <w:rsid w:val="6578278E"/>
    <w:rsid w:val="6596580C"/>
    <w:rsid w:val="666A58BA"/>
    <w:rsid w:val="669C06FE"/>
    <w:rsid w:val="66BC66AA"/>
    <w:rsid w:val="6753700F"/>
    <w:rsid w:val="677C4CD5"/>
    <w:rsid w:val="67A759D1"/>
    <w:rsid w:val="67F11C9D"/>
    <w:rsid w:val="68354966"/>
    <w:rsid w:val="685E5C6B"/>
    <w:rsid w:val="689B6629"/>
    <w:rsid w:val="68AA7102"/>
    <w:rsid w:val="68B01030"/>
    <w:rsid w:val="68B47F81"/>
    <w:rsid w:val="693966D8"/>
    <w:rsid w:val="694C1F68"/>
    <w:rsid w:val="69584DB0"/>
    <w:rsid w:val="6A3A6264"/>
    <w:rsid w:val="6AAF0A00"/>
    <w:rsid w:val="6B173EEF"/>
    <w:rsid w:val="6B2111D2"/>
    <w:rsid w:val="6B286A04"/>
    <w:rsid w:val="6B3B6738"/>
    <w:rsid w:val="6B4F3F91"/>
    <w:rsid w:val="6B8E4AB9"/>
    <w:rsid w:val="6BAE158A"/>
    <w:rsid w:val="6BEE02A6"/>
    <w:rsid w:val="6C667A9A"/>
    <w:rsid w:val="6C6924B1"/>
    <w:rsid w:val="6C8F5AF0"/>
    <w:rsid w:val="6CFF394B"/>
    <w:rsid w:val="6D222AAF"/>
    <w:rsid w:val="6DAA3701"/>
    <w:rsid w:val="6DCE5641"/>
    <w:rsid w:val="6E096679"/>
    <w:rsid w:val="6E0F7A08"/>
    <w:rsid w:val="6E1119D2"/>
    <w:rsid w:val="6EA91C0A"/>
    <w:rsid w:val="6EB011EB"/>
    <w:rsid w:val="6F914B78"/>
    <w:rsid w:val="6F917ACB"/>
    <w:rsid w:val="6FB6638D"/>
    <w:rsid w:val="70161521"/>
    <w:rsid w:val="70357BF9"/>
    <w:rsid w:val="708B5A6B"/>
    <w:rsid w:val="712263EA"/>
    <w:rsid w:val="713C6D66"/>
    <w:rsid w:val="718847E5"/>
    <w:rsid w:val="71AB1005"/>
    <w:rsid w:val="71BA448C"/>
    <w:rsid w:val="71E52F59"/>
    <w:rsid w:val="71EC078C"/>
    <w:rsid w:val="729D6014"/>
    <w:rsid w:val="72F47AC8"/>
    <w:rsid w:val="738D6022"/>
    <w:rsid w:val="740022CC"/>
    <w:rsid w:val="75B4336E"/>
    <w:rsid w:val="75ED6880"/>
    <w:rsid w:val="76342701"/>
    <w:rsid w:val="771816DB"/>
    <w:rsid w:val="773F34CF"/>
    <w:rsid w:val="786C52AB"/>
    <w:rsid w:val="79607369"/>
    <w:rsid w:val="796B643A"/>
    <w:rsid w:val="79FF4DD4"/>
    <w:rsid w:val="7AAA11E4"/>
    <w:rsid w:val="7BCC6F38"/>
    <w:rsid w:val="7BD217F3"/>
    <w:rsid w:val="7C10490F"/>
    <w:rsid w:val="7C7F3FAA"/>
    <w:rsid w:val="7CF546F0"/>
    <w:rsid w:val="7D0E4129"/>
    <w:rsid w:val="7D9256DF"/>
    <w:rsid w:val="7DB859C6"/>
    <w:rsid w:val="7DC600E3"/>
    <w:rsid w:val="7E33329E"/>
    <w:rsid w:val="7EC30AC6"/>
    <w:rsid w:val="7EE36A72"/>
    <w:rsid w:val="7F89761A"/>
    <w:rsid w:val="7F8C2C66"/>
    <w:rsid w:val="7FAD4D5D"/>
    <w:rsid w:val="7FD6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BDB5C5"/>
  <w15:docId w15:val="{0A529BCE-74F9-479C-AEC6-7A9DD1B0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iPriority="0"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2">
    <w:name w:val="Normal"/>
    <w:qFormat/>
    <w:pPr>
      <w:widowControl w:val="0"/>
      <w:jc w:val="both"/>
    </w:pPr>
    <w:rPr>
      <w:kern w:val="2"/>
      <w:sz w:val="21"/>
      <w:szCs w:val="22"/>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8">
    <w:name w:val="index 8"/>
    <w:basedOn w:val="aff2"/>
    <w:next w:val="aff2"/>
    <w:qFormat/>
    <w:pPr>
      <w:ind w:left="1680" w:hanging="210"/>
      <w:jc w:val="left"/>
    </w:pPr>
    <w:rPr>
      <w:rFonts w:ascii="Calibri" w:eastAsia="宋体" w:hAnsi="Calibri" w:cs="Times New Roman"/>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eastAsia="宋体" w:hAnsi="Calibri" w:cs="Times New Roman"/>
      <w:sz w:val="20"/>
      <w:szCs w:val="20"/>
    </w:rPr>
  </w:style>
  <w:style w:type="paragraph" w:styleId="aff7">
    <w:name w:val="Document Map"/>
    <w:basedOn w:val="aff2"/>
    <w:link w:val="aff8"/>
    <w:semiHidden/>
    <w:qFormat/>
    <w:pPr>
      <w:shd w:val="clear" w:color="auto" w:fill="000080"/>
    </w:pPr>
    <w:rPr>
      <w:rFonts w:ascii="Times New Roman" w:eastAsia="宋体" w:hAnsi="Times New Roman" w:cs="Times New Roman"/>
      <w:szCs w:val="24"/>
    </w:rPr>
  </w:style>
  <w:style w:type="paragraph" w:styleId="aff9">
    <w:name w:val="annotation text"/>
    <w:basedOn w:val="aff2"/>
    <w:link w:val="affa"/>
    <w:uiPriority w:val="99"/>
    <w:semiHidden/>
    <w:unhideWhenUsed/>
    <w:qFormat/>
    <w:pPr>
      <w:jc w:val="left"/>
    </w:pPr>
  </w:style>
  <w:style w:type="paragraph" w:styleId="6">
    <w:name w:val="index 6"/>
    <w:basedOn w:val="aff2"/>
    <w:next w:val="aff2"/>
    <w:qFormat/>
    <w:pPr>
      <w:ind w:left="1260" w:hanging="210"/>
      <w:jc w:val="left"/>
    </w:pPr>
    <w:rPr>
      <w:rFonts w:ascii="Calibri" w:eastAsia="宋体" w:hAnsi="Calibri" w:cs="Times New Roman"/>
      <w:sz w:val="20"/>
      <w:szCs w:val="20"/>
    </w:rPr>
  </w:style>
  <w:style w:type="paragraph" w:styleId="4">
    <w:name w:val="index 4"/>
    <w:basedOn w:val="aff2"/>
    <w:next w:val="aff2"/>
    <w:qFormat/>
    <w:pPr>
      <w:ind w:left="840" w:hanging="210"/>
      <w:jc w:val="left"/>
    </w:pPr>
    <w:rPr>
      <w:rFonts w:ascii="Calibri" w:eastAsia="宋体" w:hAnsi="Calibri" w:cs="Times New Roman"/>
      <w:sz w:val="20"/>
      <w:szCs w:val="20"/>
    </w:rPr>
  </w:style>
  <w:style w:type="paragraph" w:styleId="TOC3">
    <w:name w:val="toc 3"/>
    <w:basedOn w:val="aff2"/>
    <w:next w:val="aff2"/>
    <w:uiPriority w:val="39"/>
    <w:unhideWhenUsed/>
    <w:qFormat/>
    <w:pPr>
      <w:ind w:leftChars="400" w:left="840"/>
    </w:pPr>
  </w:style>
  <w:style w:type="paragraph" w:styleId="3">
    <w:name w:val="index 3"/>
    <w:basedOn w:val="aff2"/>
    <w:next w:val="aff2"/>
    <w:qFormat/>
    <w:pPr>
      <w:ind w:left="630" w:hanging="210"/>
      <w:jc w:val="left"/>
    </w:pPr>
    <w:rPr>
      <w:rFonts w:ascii="Calibri" w:eastAsia="宋体" w:hAnsi="Calibri" w:cs="Times New Roman"/>
      <w:sz w:val="20"/>
      <w:szCs w:val="20"/>
    </w:rPr>
  </w:style>
  <w:style w:type="paragraph" w:styleId="affb">
    <w:name w:val="endnote text"/>
    <w:basedOn w:val="aff2"/>
    <w:link w:val="affc"/>
    <w:semiHidden/>
    <w:qFormat/>
    <w:pPr>
      <w:snapToGrid w:val="0"/>
      <w:jc w:val="left"/>
    </w:pPr>
    <w:rPr>
      <w:rFonts w:ascii="Times New Roman" w:eastAsia="宋体" w:hAnsi="Times New Roman" w:cs="Times New Roman"/>
      <w:szCs w:val="24"/>
    </w:rPr>
  </w:style>
  <w:style w:type="paragraph" w:styleId="affd">
    <w:name w:val="Balloon Text"/>
    <w:basedOn w:val="aff2"/>
    <w:link w:val="affe"/>
    <w:qFormat/>
    <w:rPr>
      <w:rFonts w:ascii="Times New Roman" w:eastAsia="宋体" w:hAnsi="Times New Roman" w:cs="Times New Roman"/>
      <w:sz w:val="18"/>
      <w:szCs w:val="18"/>
      <w:lang w:val="zh-CN"/>
    </w:rPr>
  </w:style>
  <w:style w:type="paragraph" w:styleId="afff">
    <w:name w:val="footer"/>
    <w:basedOn w:val="aff2"/>
    <w:link w:val="afff0"/>
    <w:uiPriority w:val="99"/>
    <w:qFormat/>
    <w:pPr>
      <w:snapToGrid w:val="0"/>
      <w:ind w:rightChars="100" w:right="210"/>
      <w:jc w:val="right"/>
    </w:pPr>
    <w:rPr>
      <w:rFonts w:ascii="Times New Roman" w:eastAsia="宋体" w:hAnsi="Times New Roman" w:cs="Times New Roman"/>
      <w:sz w:val="18"/>
      <w:szCs w:val="18"/>
    </w:rPr>
  </w:style>
  <w:style w:type="paragraph" w:styleId="afff1">
    <w:name w:val="header"/>
    <w:basedOn w:val="aff2"/>
    <w:link w:val="afff2"/>
    <w:qFormat/>
    <w:pPr>
      <w:snapToGrid w:val="0"/>
      <w:jc w:val="left"/>
    </w:pPr>
    <w:rPr>
      <w:rFonts w:ascii="Times New Roman" w:eastAsia="宋体" w:hAnsi="Times New Roman" w:cs="Times New Roman"/>
      <w:sz w:val="18"/>
      <w:szCs w:val="18"/>
    </w:rPr>
  </w:style>
  <w:style w:type="paragraph" w:styleId="TOC1">
    <w:name w:val="toc 1"/>
    <w:basedOn w:val="aff2"/>
    <w:next w:val="aff2"/>
    <w:uiPriority w:val="39"/>
    <w:unhideWhenUsed/>
    <w:qFormat/>
  </w:style>
  <w:style w:type="paragraph" w:styleId="afff3">
    <w:name w:val="index heading"/>
    <w:basedOn w:val="aff2"/>
    <w:next w:val="1"/>
    <w:qFormat/>
    <w:pPr>
      <w:spacing w:before="120" w:after="120"/>
      <w:jc w:val="center"/>
    </w:pPr>
    <w:rPr>
      <w:rFonts w:ascii="Calibri" w:eastAsia="宋体" w:hAnsi="Calibri" w:cs="Times New Roman"/>
      <w:b/>
      <w:bCs/>
      <w:iCs/>
      <w:szCs w:val="20"/>
    </w:rPr>
  </w:style>
  <w:style w:type="paragraph" w:styleId="1">
    <w:name w:val="index 1"/>
    <w:basedOn w:val="aff2"/>
    <w:next w:val="aff2"/>
    <w:unhideWhenUsed/>
    <w:qFormat/>
  </w:style>
  <w:style w:type="paragraph" w:styleId="af">
    <w:name w:val="footnote text"/>
    <w:basedOn w:val="aff2"/>
    <w:link w:val="afff4"/>
    <w:qFormat/>
    <w:pPr>
      <w:numPr>
        <w:numId w:val="1"/>
      </w:numPr>
      <w:snapToGrid w:val="0"/>
      <w:jc w:val="left"/>
    </w:pPr>
    <w:rPr>
      <w:rFonts w:ascii="宋体" w:eastAsia="宋体" w:hAnsi="Times New Roman" w:cs="Times New Roman"/>
      <w:sz w:val="18"/>
      <w:szCs w:val="18"/>
    </w:rPr>
  </w:style>
  <w:style w:type="paragraph" w:styleId="7">
    <w:name w:val="index 7"/>
    <w:basedOn w:val="aff2"/>
    <w:next w:val="aff2"/>
    <w:qFormat/>
    <w:pPr>
      <w:ind w:left="1470" w:hanging="210"/>
      <w:jc w:val="left"/>
    </w:pPr>
    <w:rPr>
      <w:rFonts w:ascii="Calibri" w:eastAsia="宋体" w:hAnsi="Calibri" w:cs="Times New Roman"/>
      <w:sz w:val="20"/>
      <w:szCs w:val="20"/>
    </w:rPr>
  </w:style>
  <w:style w:type="paragraph" w:styleId="9">
    <w:name w:val="index 9"/>
    <w:basedOn w:val="aff2"/>
    <w:next w:val="aff2"/>
    <w:qFormat/>
    <w:pPr>
      <w:ind w:left="1890" w:hanging="210"/>
      <w:jc w:val="left"/>
    </w:pPr>
    <w:rPr>
      <w:rFonts w:ascii="Calibri" w:eastAsia="宋体" w:hAnsi="Calibri" w:cs="Times New Roman"/>
      <w:sz w:val="20"/>
      <w:szCs w:val="20"/>
    </w:rPr>
  </w:style>
  <w:style w:type="paragraph" w:styleId="TOC2">
    <w:name w:val="toc 2"/>
    <w:basedOn w:val="aff2"/>
    <w:next w:val="aff2"/>
    <w:uiPriority w:val="39"/>
    <w:unhideWhenUsed/>
    <w:qFormat/>
    <w:pPr>
      <w:ind w:leftChars="200" w:left="420"/>
    </w:pPr>
  </w:style>
  <w:style w:type="paragraph" w:styleId="20">
    <w:name w:val="index 2"/>
    <w:basedOn w:val="aff2"/>
    <w:next w:val="aff2"/>
    <w:qFormat/>
    <w:pPr>
      <w:ind w:left="420" w:hanging="210"/>
      <w:jc w:val="left"/>
    </w:pPr>
    <w:rPr>
      <w:rFonts w:ascii="Calibri" w:eastAsia="宋体" w:hAnsi="Calibri" w:cs="Times New Roman"/>
      <w:sz w:val="20"/>
      <w:szCs w:val="20"/>
    </w:rPr>
  </w:style>
  <w:style w:type="paragraph" w:styleId="afff5">
    <w:name w:val="annotation subject"/>
    <w:basedOn w:val="aff9"/>
    <w:next w:val="aff9"/>
    <w:link w:val="afff6"/>
    <w:uiPriority w:val="99"/>
    <w:semiHidden/>
    <w:unhideWhenUsed/>
    <w:qFormat/>
    <w:rPr>
      <w:b/>
      <w:bCs/>
    </w:rPr>
  </w:style>
  <w:style w:type="table" w:styleId="afff7">
    <w:name w:val="Table Grid"/>
    <w:basedOn w:val="aff4"/>
    <w:qFormat/>
    <w:rPr>
      <w:rFonts w:ascii="宋体" w:eastAsia="宋体" w:hAnsi="Times New Roman" w:cs="Times New Roman"/>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8">
    <w:name w:val="endnote reference"/>
    <w:semiHidden/>
    <w:qFormat/>
    <w:rPr>
      <w:vertAlign w:val="superscript"/>
    </w:rPr>
  </w:style>
  <w:style w:type="character" w:styleId="afff9">
    <w:name w:val="page number"/>
    <w:qFormat/>
    <w:rPr>
      <w:rFonts w:ascii="Times New Roman" w:eastAsia="宋体" w:hAnsi="Times New Roman"/>
      <w:sz w:val="18"/>
    </w:rPr>
  </w:style>
  <w:style w:type="character" w:styleId="afffa">
    <w:name w:val="FollowedHyperlink"/>
    <w:qFormat/>
    <w:rPr>
      <w:color w:val="800080"/>
      <w:u w:val="single"/>
    </w:rPr>
  </w:style>
  <w:style w:type="character" w:styleId="afffb">
    <w:name w:val="Hyperlink"/>
    <w:uiPriority w:val="99"/>
    <w:qFormat/>
    <w:rPr>
      <w:color w:val="0000FF"/>
      <w:spacing w:val="0"/>
      <w:w w:val="100"/>
      <w:szCs w:val="21"/>
      <w:u w:val="single"/>
      <w:lang w:val="en-US" w:eastAsia="zh-CN"/>
    </w:rPr>
  </w:style>
  <w:style w:type="character" w:styleId="afffc">
    <w:name w:val="annotation reference"/>
    <w:basedOn w:val="aff3"/>
    <w:uiPriority w:val="99"/>
    <w:semiHidden/>
    <w:unhideWhenUsed/>
    <w:qFormat/>
    <w:rPr>
      <w:sz w:val="21"/>
      <w:szCs w:val="21"/>
    </w:rPr>
  </w:style>
  <w:style w:type="character" w:styleId="afffd">
    <w:name w:val="footnote reference"/>
    <w:semiHidden/>
    <w:qFormat/>
    <w:rPr>
      <w:vertAlign w:val="superscript"/>
    </w:rPr>
  </w:style>
  <w:style w:type="paragraph" w:customStyle="1" w:styleId="71">
    <w:name w:val="目录 71"/>
    <w:basedOn w:val="aff2"/>
    <w:next w:val="aff2"/>
    <w:semiHidden/>
    <w:qFormat/>
    <w:pPr>
      <w:tabs>
        <w:tab w:val="right" w:leader="dot" w:pos="9241"/>
      </w:tabs>
      <w:ind w:firstLineChars="500" w:firstLine="500"/>
      <w:jc w:val="left"/>
    </w:pPr>
    <w:rPr>
      <w:rFonts w:ascii="宋体" w:eastAsia="宋体" w:hAnsi="Times New Roman" w:cs="Times New Roman"/>
      <w:szCs w:val="21"/>
    </w:rPr>
  </w:style>
  <w:style w:type="character" w:customStyle="1" w:styleId="aff8">
    <w:name w:val="文档结构图 字符"/>
    <w:basedOn w:val="aff3"/>
    <w:link w:val="aff7"/>
    <w:semiHidden/>
    <w:qFormat/>
    <w:rPr>
      <w:rFonts w:ascii="Times New Roman" w:eastAsia="宋体" w:hAnsi="Times New Roman" w:cs="Times New Roman"/>
      <w:szCs w:val="24"/>
      <w:shd w:val="clear" w:color="auto" w:fill="000080"/>
    </w:rPr>
  </w:style>
  <w:style w:type="paragraph" w:customStyle="1" w:styleId="51">
    <w:name w:val="目录 51"/>
    <w:basedOn w:val="aff2"/>
    <w:next w:val="aff2"/>
    <w:semiHidden/>
    <w:qFormat/>
    <w:pPr>
      <w:tabs>
        <w:tab w:val="right" w:leader="dot" w:pos="9241"/>
      </w:tabs>
      <w:ind w:firstLineChars="300" w:firstLine="300"/>
      <w:jc w:val="left"/>
    </w:pPr>
    <w:rPr>
      <w:rFonts w:ascii="宋体" w:eastAsia="宋体" w:hAnsi="Times New Roman" w:cs="Times New Roman"/>
      <w:szCs w:val="21"/>
    </w:rPr>
  </w:style>
  <w:style w:type="paragraph" w:customStyle="1" w:styleId="31">
    <w:name w:val="目录 31"/>
    <w:basedOn w:val="aff2"/>
    <w:next w:val="aff2"/>
    <w:uiPriority w:val="39"/>
    <w:qFormat/>
    <w:pPr>
      <w:tabs>
        <w:tab w:val="right" w:leader="dot" w:pos="9241"/>
      </w:tabs>
      <w:ind w:firstLineChars="100" w:firstLine="100"/>
      <w:jc w:val="left"/>
    </w:pPr>
    <w:rPr>
      <w:rFonts w:ascii="宋体" w:eastAsia="宋体" w:hAnsi="Times New Roman" w:cs="Times New Roman"/>
      <w:szCs w:val="21"/>
    </w:rPr>
  </w:style>
  <w:style w:type="paragraph" w:customStyle="1" w:styleId="81">
    <w:name w:val="目录 81"/>
    <w:basedOn w:val="aff2"/>
    <w:next w:val="aff2"/>
    <w:semiHidden/>
    <w:qFormat/>
    <w:pPr>
      <w:tabs>
        <w:tab w:val="right" w:leader="dot" w:pos="9241"/>
      </w:tabs>
      <w:ind w:firstLineChars="600" w:firstLine="607"/>
      <w:jc w:val="left"/>
    </w:pPr>
    <w:rPr>
      <w:rFonts w:ascii="宋体" w:eastAsia="宋体" w:hAnsi="Times New Roman" w:cs="Times New Roman"/>
      <w:szCs w:val="21"/>
    </w:rPr>
  </w:style>
  <w:style w:type="character" w:customStyle="1" w:styleId="affc">
    <w:name w:val="尾注文本 字符"/>
    <w:basedOn w:val="aff3"/>
    <w:link w:val="affb"/>
    <w:semiHidden/>
    <w:qFormat/>
    <w:rPr>
      <w:rFonts w:ascii="Times New Roman" w:eastAsia="宋体" w:hAnsi="Times New Roman" w:cs="Times New Roman"/>
      <w:szCs w:val="24"/>
    </w:rPr>
  </w:style>
  <w:style w:type="character" w:customStyle="1" w:styleId="afff0">
    <w:name w:val="页脚 字符"/>
    <w:basedOn w:val="aff3"/>
    <w:link w:val="afff"/>
    <w:uiPriority w:val="99"/>
    <w:qFormat/>
    <w:rPr>
      <w:rFonts w:ascii="Times New Roman" w:eastAsia="宋体" w:hAnsi="Times New Roman" w:cs="Times New Roman"/>
      <w:sz w:val="18"/>
      <w:szCs w:val="18"/>
    </w:rPr>
  </w:style>
  <w:style w:type="character" w:customStyle="1" w:styleId="afff2">
    <w:name w:val="页眉 字符"/>
    <w:basedOn w:val="aff3"/>
    <w:link w:val="afff1"/>
    <w:qFormat/>
    <w:rPr>
      <w:rFonts w:ascii="Times New Roman" w:eastAsia="宋体" w:hAnsi="Times New Roman" w:cs="Times New Roman"/>
      <w:sz w:val="18"/>
      <w:szCs w:val="18"/>
    </w:rPr>
  </w:style>
  <w:style w:type="paragraph" w:customStyle="1" w:styleId="11">
    <w:name w:val="目录 11"/>
    <w:basedOn w:val="aff2"/>
    <w:next w:val="aff2"/>
    <w:uiPriority w:val="39"/>
    <w:qFormat/>
    <w:pPr>
      <w:tabs>
        <w:tab w:val="right" w:leader="dot" w:pos="9242"/>
      </w:tabs>
      <w:spacing w:beforeLines="25" w:before="25" w:afterLines="25" w:after="25"/>
      <w:jc w:val="left"/>
    </w:pPr>
    <w:rPr>
      <w:rFonts w:ascii="宋体" w:eastAsia="宋体" w:hAnsi="Times New Roman" w:cs="Times New Roman"/>
      <w:szCs w:val="21"/>
    </w:rPr>
  </w:style>
  <w:style w:type="paragraph" w:customStyle="1" w:styleId="41">
    <w:name w:val="目录 41"/>
    <w:basedOn w:val="aff2"/>
    <w:next w:val="aff2"/>
    <w:semiHidden/>
    <w:qFormat/>
    <w:pPr>
      <w:tabs>
        <w:tab w:val="right" w:leader="dot" w:pos="9241"/>
      </w:tabs>
      <w:ind w:firstLineChars="200" w:firstLine="200"/>
      <w:jc w:val="left"/>
    </w:pPr>
    <w:rPr>
      <w:rFonts w:ascii="宋体" w:eastAsia="宋体" w:hAnsi="Times New Roman" w:cs="Times New Roman"/>
      <w:szCs w:val="21"/>
    </w:rPr>
  </w:style>
  <w:style w:type="paragraph" w:customStyle="1" w:styleId="afffe">
    <w:name w:val="段"/>
    <w:link w:val="Char"/>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
    <w:name w:val="段 Char"/>
    <w:link w:val="afffe"/>
    <w:qFormat/>
    <w:rPr>
      <w:rFonts w:ascii="宋体" w:eastAsia="宋体" w:hAnsi="Times New Roman" w:cs="Times New Roman"/>
      <w:kern w:val="0"/>
      <w:szCs w:val="20"/>
    </w:rPr>
  </w:style>
  <w:style w:type="character" w:customStyle="1" w:styleId="afff4">
    <w:name w:val="脚注文本 字符"/>
    <w:basedOn w:val="aff3"/>
    <w:link w:val="af"/>
    <w:qFormat/>
    <w:rPr>
      <w:rFonts w:ascii="宋体" w:eastAsia="宋体" w:hAnsi="Times New Roman" w:cs="Times New Roman"/>
      <w:sz w:val="18"/>
      <w:szCs w:val="18"/>
    </w:rPr>
  </w:style>
  <w:style w:type="paragraph" w:customStyle="1" w:styleId="61">
    <w:name w:val="目录 61"/>
    <w:basedOn w:val="aff2"/>
    <w:next w:val="aff2"/>
    <w:semiHidden/>
    <w:qFormat/>
    <w:pPr>
      <w:tabs>
        <w:tab w:val="right" w:leader="dot" w:pos="9241"/>
      </w:tabs>
      <w:ind w:firstLineChars="400" w:firstLine="400"/>
      <w:jc w:val="left"/>
    </w:pPr>
    <w:rPr>
      <w:rFonts w:ascii="宋体" w:eastAsia="宋体" w:hAnsi="Times New Roman" w:cs="Times New Roman"/>
      <w:szCs w:val="21"/>
    </w:rPr>
  </w:style>
  <w:style w:type="paragraph" w:customStyle="1" w:styleId="21">
    <w:name w:val="目录 21"/>
    <w:basedOn w:val="aff2"/>
    <w:next w:val="aff2"/>
    <w:uiPriority w:val="39"/>
    <w:qFormat/>
    <w:pPr>
      <w:tabs>
        <w:tab w:val="right" w:leader="dot" w:pos="9242"/>
      </w:tabs>
    </w:pPr>
    <w:rPr>
      <w:rFonts w:ascii="宋体" w:eastAsia="宋体" w:hAnsi="Times New Roman" w:cs="Times New Roman"/>
      <w:szCs w:val="21"/>
    </w:rPr>
  </w:style>
  <w:style w:type="paragraph" w:customStyle="1" w:styleId="91">
    <w:name w:val="目录 91"/>
    <w:basedOn w:val="aff2"/>
    <w:next w:val="aff2"/>
    <w:semiHidden/>
    <w:qFormat/>
    <w:pPr>
      <w:ind w:left="1470"/>
      <w:jc w:val="left"/>
    </w:pPr>
    <w:rPr>
      <w:rFonts w:ascii="Times New Roman" w:eastAsia="宋体" w:hAnsi="Times New Roman" w:cs="Times New Roman"/>
      <w:sz w:val="20"/>
      <w:szCs w:val="20"/>
    </w:rPr>
  </w:style>
  <w:style w:type="paragraph" w:customStyle="1" w:styleId="a5">
    <w:name w:val="一级条标题"/>
    <w:next w:val="afffe"/>
    <w:qFormat/>
    <w:pPr>
      <w:numPr>
        <w:ilvl w:val="1"/>
        <w:numId w:val="2"/>
      </w:numPr>
      <w:spacing w:beforeLines="50" w:before="156" w:afterLines="50" w:after="156"/>
      <w:outlineLvl w:val="2"/>
    </w:pPr>
    <w:rPr>
      <w:rFonts w:ascii="黑体" w:eastAsia="黑体" w:hAnsi="Times New Roman" w:cs="Times New Roman"/>
      <w:sz w:val="21"/>
      <w:szCs w:val="21"/>
    </w:rPr>
  </w:style>
  <w:style w:type="paragraph" w:customStyle="1" w:styleId="affff">
    <w:name w:val="标准书脚_奇数页"/>
    <w:qFormat/>
    <w:pPr>
      <w:spacing w:before="120"/>
      <w:ind w:right="198"/>
      <w:jc w:val="right"/>
    </w:pPr>
    <w:rPr>
      <w:rFonts w:ascii="宋体" w:eastAsia="宋体" w:hAnsi="Times New Roman" w:cs="Times New Roman"/>
      <w:sz w:val="18"/>
      <w:szCs w:val="18"/>
    </w:rPr>
  </w:style>
  <w:style w:type="paragraph" w:customStyle="1" w:styleId="affff0">
    <w:name w:val="标准书眉_奇数页"/>
    <w:next w:val="aff2"/>
    <w:qFormat/>
    <w:pPr>
      <w:tabs>
        <w:tab w:val="center" w:pos="4154"/>
        <w:tab w:val="right" w:pos="8306"/>
      </w:tabs>
      <w:spacing w:after="220"/>
      <w:jc w:val="right"/>
    </w:pPr>
    <w:rPr>
      <w:rFonts w:ascii="黑体" w:eastAsia="黑体" w:hAnsi="Times New Roman" w:cs="Times New Roman"/>
      <w:sz w:val="21"/>
      <w:szCs w:val="21"/>
    </w:rPr>
  </w:style>
  <w:style w:type="paragraph" w:customStyle="1" w:styleId="a4">
    <w:name w:val="章标题"/>
    <w:next w:val="afffe"/>
    <w:qFormat/>
    <w:pPr>
      <w:numPr>
        <w:numId w:val="2"/>
      </w:numPr>
      <w:spacing w:beforeLines="100" w:before="312" w:afterLines="100" w:after="312"/>
      <w:jc w:val="both"/>
      <w:outlineLvl w:val="1"/>
    </w:pPr>
    <w:rPr>
      <w:rFonts w:ascii="黑体" w:eastAsia="黑体" w:hAnsi="Times New Roman" w:cs="Times New Roman"/>
      <w:sz w:val="21"/>
    </w:rPr>
  </w:style>
  <w:style w:type="paragraph" w:customStyle="1" w:styleId="affff1">
    <w:name w:val="二级条标题"/>
    <w:basedOn w:val="a5"/>
    <w:next w:val="afffe"/>
    <w:qFormat/>
    <w:pPr>
      <w:numPr>
        <w:ilvl w:val="0"/>
        <w:numId w:val="0"/>
      </w:numPr>
      <w:spacing w:before="50" w:after="50"/>
      <w:ind w:left="1985"/>
      <w:outlineLvl w:val="3"/>
    </w:p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c">
    <w:name w:val="列项——（一级）"/>
    <w:qFormat/>
    <w:pPr>
      <w:widowControl w:val="0"/>
      <w:numPr>
        <w:numId w:val="3"/>
      </w:numPr>
      <w:ind w:leftChars="150" w:left="558"/>
      <w:jc w:val="both"/>
    </w:pPr>
    <w:rPr>
      <w:rFonts w:ascii="宋体" w:eastAsia="宋体" w:hAnsi="Times New Roman" w:cs="Times New Roman"/>
      <w:sz w:val="21"/>
    </w:rPr>
  </w:style>
  <w:style w:type="paragraph" w:customStyle="1" w:styleId="ad">
    <w:name w:val="列项●（二级）"/>
    <w:qFormat/>
    <w:pPr>
      <w:numPr>
        <w:ilvl w:val="1"/>
        <w:numId w:val="3"/>
      </w:numPr>
      <w:tabs>
        <w:tab w:val="left" w:pos="840"/>
      </w:tabs>
      <w:jc w:val="both"/>
    </w:pPr>
    <w:rPr>
      <w:rFonts w:ascii="宋体" w:eastAsia="宋体" w:hAnsi="Times New Roman" w:cs="Times New Roman"/>
      <w:sz w:val="21"/>
    </w:rPr>
  </w:style>
  <w:style w:type="paragraph" w:customStyle="1" w:styleId="affff2">
    <w:name w:val="目次、标准名称标题"/>
    <w:basedOn w:val="aff2"/>
    <w:next w:val="afffe"/>
    <w:qFormat/>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7">
    <w:name w:val="三级条标题"/>
    <w:basedOn w:val="aff2"/>
    <w:next w:val="afffe"/>
    <w:qFormat/>
    <w:pPr>
      <w:widowControl/>
      <w:numPr>
        <w:ilvl w:val="3"/>
        <w:numId w:val="2"/>
      </w:numPr>
      <w:spacing w:beforeLines="50" w:before="50" w:afterLines="50" w:after="50"/>
      <w:jc w:val="left"/>
      <w:outlineLvl w:val="4"/>
    </w:pPr>
    <w:rPr>
      <w:rFonts w:ascii="黑体" w:eastAsia="黑体" w:hAnsi="Times New Roman" w:cs="Times New Roman"/>
      <w:kern w:val="0"/>
      <w:szCs w:val="21"/>
    </w:rPr>
  </w:style>
  <w:style w:type="paragraph" w:customStyle="1" w:styleId="a1">
    <w:name w:val="示例"/>
    <w:next w:val="affff3"/>
    <w:qFormat/>
    <w:pPr>
      <w:widowControl w:val="0"/>
      <w:numPr>
        <w:numId w:val="4"/>
      </w:numPr>
      <w:jc w:val="both"/>
    </w:pPr>
    <w:rPr>
      <w:rFonts w:ascii="宋体" w:eastAsia="宋体" w:hAnsi="Times New Roman" w:cs="Times New Roman"/>
      <w:sz w:val="18"/>
      <w:szCs w:val="18"/>
    </w:rPr>
  </w:style>
  <w:style w:type="paragraph" w:customStyle="1" w:styleId="affff3">
    <w:name w:val="示例内容"/>
    <w:qFormat/>
    <w:pPr>
      <w:ind w:firstLineChars="200" w:firstLine="200"/>
    </w:pPr>
    <w:rPr>
      <w:rFonts w:ascii="宋体" w:eastAsia="宋体" w:hAnsi="Times New Roman" w:cs="Times New Roman"/>
      <w:sz w:val="18"/>
      <w:szCs w:val="18"/>
    </w:rPr>
  </w:style>
  <w:style w:type="paragraph" w:customStyle="1" w:styleId="af1">
    <w:name w:val="数字编号列项（二级）"/>
    <w:qFormat/>
    <w:pPr>
      <w:numPr>
        <w:ilvl w:val="1"/>
        <w:numId w:val="5"/>
      </w:numPr>
      <w:jc w:val="both"/>
    </w:pPr>
    <w:rPr>
      <w:rFonts w:ascii="宋体" w:eastAsia="宋体" w:hAnsi="Times New Roman" w:cs="Times New Roman"/>
      <w:sz w:val="21"/>
    </w:rPr>
  </w:style>
  <w:style w:type="paragraph" w:customStyle="1" w:styleId="a8">
    <w:name w:val="四级条标题"/>
    <w:basedOn w:val="a7"/>
    <w:next w:val="afffe"/>
    <w:qFormat/>
    <w:pPr>
      <w:numPr>
        <w:ilvl w:val="4"/>
      </w:numPr>
      <w:outlineLvl w:val="5"/>
    </w:pPr>
  </w:style>
  <w:style w:type="paragraph" w:customStyle="1" w:styleId="a9">
    <w:name w:val="五级条标题"/>
    <w:basedOn w:val="a8"/>
    <w:next w:val="afffe"/>
    <w:qFormat/>
    <w:pPr>
      <w:numPr>
        <w:ilvl w:val="5"/>
      </w:numPr>
      <w:outlineLvl w:val="6"/>
    </w:pPr>
  </w:style>
  <w:style w:type="paragraph" w:customStyle="1" w:styleId="aff1">
    <w:name w:val="注："/>
    <w:next w:val="afffe"/>
    <w:qFormat/>
    <w:pPr>
      <w:widowControl w:val="0"/>
      <w:numPr>
        <w:numId w:val="6"/>
      </w:numPr>
      <w:autoSpaceDE w:val="0"/>
      <w:autoSpaceDN w:val="0"/>
      <w:jc w:val="both"/>
    </w:pPr>
    <w:rPr>
      <w:rFonts w:ascii="宋体" w:eastAsia="宋体" w:hAnsi="Times New Roman" w:cs="Times New Roman"/>
      <w:sz w:val="18"/>
      <w:szCs w:val="18"/>
    </w:rPr>
  </w:style>
  <w:style w:type="paragraph" w:customStyle="1" w:styleId="a">
    <w:name w:val="注×："/>
    <w:qFormat/>
    <w:pPr>
      <w:widowControl w:val="0"/>
      <w:numPr>
        <w:numId w:val="7"/>
      </w:numPr>
      <w:autoSpaceDE w:val="0"/>
      <w:autoSpaceDN w:val="0"/>
      <w:jc w:val="both"/>
    </w:pPr>
    <w:rPr>
      <w:rFonts w:ascii="宋体" w:eastAsia="宋体" w:hAnsi="Times New Roman" w:cs="Times New Roman"/>
      <w:sz w:val="18"/>
      <w:szCs w:val="18"/>
    </w:rPr>
  </w:style>
  <w:style w:type="paragraph" w:customStyle="1" w:styleId="af0">
    <w:name w:val="字母编号列项（一级）"/>
    <w:qFormat/>
    <w:pPr>
      <w:numPr>
        <w:numId w:val="5"/>
      </w:numPr>
      <w:jc w:val="both"/>
    </w:pPr>
    <w:rPr>
      <w:rFonts w:ascii="宋体" w:eastAsia="宋体" w:hAnsi="Times New Roman" w:cs="Times New Roman"/>
      <w:sz w:val="21"/>
    </w:rPr>
  </w:style>
  <w:style w:type="paragraph" w:customStyle="1" w:styleId="ae">
    <w:name w:val="列项◆（三级）"/>
    <w:basedOn w:val="aff2"/>
    <w:qFormat/>
    <w:pPr>
      <w:numPr>
        <w:ilvl w:val="2"/>
        <w:numId w:val="3"/>
      </w:numPr>
    </w:pPr>
    <w:rPr>
      <w:rFonts w:ascii="宋体" w:eastAsia="宋体" w:hAnsi="Times New Roman" w:cs="Times New Roman"/>
      <w:szCs w:val="21"/>
    </w:rPr>
  </w:style>
  <w:style w:type="paragraph" w:customStyle="1" w:styleId="af2">
    <w:name w:val="编号列项（三级）"/>
    <w:qFormat/>
    <w:pPr>
      <w:numPr>
        <w:ilvl w:val="2"/>
        <w:numId w:val="5"/>
      </w:numPr>
    </w:pPr>
    <w:rPr>
      <w:rFonts w:ascii="宋体" w:eastAsia="宋体" w:hAnsi="Times New Roman" w:cs="Times New Roman"/>
      <w:sz w:val="21"/>
    </w:rPr>
  </w:style>
  <w:style w:type="paragraph" w:customStyle="1" w:styleId="af3">
    <w:name w:val="示例×："/>
    <w:basedOn w:val="a4"/>
    <w:qFormat/>
    <w:pPr>
      <w:numPr>
        <w:numId w:val="8"/>
      </w:numPr>
      <w:spacing w:beforeLines="0" w:before="0" w:afterLines="0" w:after="0"/>
      <w:outlineLvl w:val="9"/>
    </w:pPr>
    <w:rPr>
      <w:rFonts w:ascii="宋体" w:eastAsia="宋体"/>
      <w:sz w:val="18"/>
      <w:szCs w:val="18"/>
    </w:rPr>
  </w:style>
  <w:style w:type="paragraph" w:customStyle="1" w:styleId="a6">
    <w:name w:val="二级无"/>
    <w:basedOn w:val="affff1"/>
    <w:qFormat/>
    <w:pPr>
      <w:numPr>
        <w:ilvl w:val="2"/>
        <w:numId w:val="2"/>
      </w:numPr>
      <w:adjustRightInd w:val="0"/>
      <w:snapToGrid w:val="0"/>
      <w:spacing w:beforeLines="0" w:before="0" w:afterLines="0" w:after="0"/>
      <w:ind w:left="0"/>
    </w:pPr>
    <w:rPr>
      <w:rFonts w:ascii="宋体" w:eastAsia="宋体"/>
    </w:rPr>
  </w:style>
  <w:style w:type="paragraph" w:customStyle="1" w:styleId="affff4">
    <w:name w:val="注：（正文）"/>
    <w:basedOn w:val="aff1"/>
    <w:next w:val="afffe"/>
    <w:qFormat/>
  </w:style>
  <w:style w:type="paragraph" w:customStyle="1" w:styleId="a3">
    <w:name w:val="注×：（正文）"/>
    <w:qFormat/>
    <w:pPr>
      <w:numPr>
        <w:numId w:val="9"/>
      </w:numPr>
      <w:jc w:val="both"/>
    </w:pPr>
    <w:rPr>
      <w:rFonts w:ascii="宋体" w:eastAsia="宋体" w:hAnsi="Times New Roman" w:cs="Times New Roman"/>
      <w:sz w:val="18"/>
      <w:szCs w:val="18"/>
    </w:rPr>
  </w:style>
  <w:style w:type="paragraph" w:customStyle="1" w:styleId="affff5">
    <w:name w:val="标准标志"/>
    <w:next w:val="aff2"/>
    <w:qFormat/>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6">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7">
    <w:name w:val="标准书脚_偶数页"/>
    <w:qFormat/>
    <w:pPr>
      <w:spacing w:before="120"/>
      <w:ind w:left="221"/>
    </w:pPr>
    <w:rPr>
      <w:rFonts w:ascii="宋体" w:eastAsia="宋体" w:hAnsi="Times New Roman" w:cs="Times New Roman"/>
      <w:sz w:val="18"/>
      <w:szCs w:val="18"/>
    </w:rPr>
  </w:style>
  <w:style w:type="paragraph" w:customStyle="1" w:styleId="affff8">
    <w:name w:val="标准书眉_偶数页"/>
    <w:basedOn w:val="affff0"/>
    <w:next w:val="aff2"/>
    <w:qFormat/>
    <w:pPr>
      <w:jc w:val="left"/>
    </w:pPr>
  </w:style>
  <w:style w:type="paragraph" w:customStyle="1" w:styleId="affff9">
    <w:name w:val="标准书眉一"/>
    <w:qFormat/>
    <w:pPr>
      <w:jc w:val="both"/>
    </w:pPr>
    <w:rPr>
      <w:rFonts w:ascii="Times New Roman" w:eastAsia="宋体" w:hAnsi="Times New Roman" w:cs="Times New Roman"/>
    </w:rPr>
  </w:style>
  <w:style w:type="paragraph" w:customStyle="1" w:styleId="affffa">
    <w:name w:val="参考文献"/>
    <w:basedOn w:val="aff2"/>
    <w:next w:val="afffe"/>
    <w:qFormat/>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b">
    <w:name w:val="参考文献、索引标题"/>
    <w:basedOn w:val="aff2"/>
    <w:next w:val="afffe"/>
    <w:qFormat/>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c">
    <w:name w:val="发布"/>
    <w:qFormat/>
    <w:rPr>
      <w:rFonts w:ascii="黑体" w:eastAsia="黑体"/>
      <w:spacing w:val="85"/>
      <w:w w:val="100"/>
      <w:position w:val="3"/>
      <w:sz w:val="28"/>
      <w:szCs w:val="28"/>
    </w:rPr>
  </w:style>
  <w:style w:type="paragraph" w:customStyle="1" w:styleId="affffd">
    <w:name w:val="发布部门"/>
    <w:next w:val="afffe"/>
    <w:qFormat/>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e">
    <w:name w:val="发布日期"/>
    <w:qFormat/>
    <w:pPr>
      <w:framePr w:w="3997" w:h="471" w:hRule="exact" w:vSpace="181" w:wrap="around" w:hAnchor="page" w:x="7089" w:y="14097" w:anchorLock="1"/>
    </w:pPr>
    <w:rPr>
      <w:rFonts w:ascii="Times New Roman" w:eastAsia="黑体" w:hAnsi="Times New Roman" w:cs="Times New Roman"/>
      <w:sz w:val="28"/>
    </w:rPr>
  </w:style>
  <w:style w:type="paragraph" w:customStyle="1" w:styleId="afffff">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0">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1">
    <w:name w:val="封面标准英文名称"/>
    <w:basedOn w:val="afffff0"/>
    <w:qFormat/>
    <w:pPr>
      <w:framePr w:wrap="around"/>
      <w:spacing w:before="370" w:line="400" w:lineRule="exact"/>
    </w:pPr>
    <w:rPr>
      <w:rFonts w:ascii="Times New Roman"/>
      <w:sz w:val="28"/>
      <w:szCs w:val="28"/>
    </w:rPr>
  </w:style>
  <w:style w:type="paragraph" w:customStyle="1" w:styleId="afffff2">
    <w:name w:val="封面一致性程度标识"/>
    <w:basedOn w:val="afffff1"/>
    <w:qFormat/>
    <w:pPr>
      <w:framePr w:wrap="around"/>
      <w:spacing w:before="440"/>
    </w:pPr>
    <w:rPr>
      <w:rFonts w:ascii="宋体" w:eastAsia="宋体"/>
    </w:rPr>
  </w:style>
  <w:style w:type="paragraph" w:customStyle="1" w:styleId="afffff3">
    <w:name w:val="封面标准文稿类别"/>
    <w:basedOn w:val="afffff2"/>
    <w:qFormat/>
    <w:pPr>
      <w:framePr w:wrap="around"/>
      <w:spacing w:after="160" w:line="240" w:lineRule="auto"/>
    </w:pPr>
    <w:rPr>
      <w:sz w:val="24"/>
    </w:rPr>
  </w:style>
  <w:style w:type="paragraph" w:customStyle="1" w:styleId="afffff4">
    <w:name w:val="封面标准文稿编辑信息"/>
    <w:basedOn w:val="afffff3"/>
    <w:qFormat/>
    <w:pPr>
      <w:framePr w:wrap="around"/>
      <w:spacing w:before="180" w:line="180" w:lineRule="exact"/>
    </w:pPr>
    <w:rPr>
      <w:sz w:val="21"/>
    </w:rPr>
  </w:style>
  <w:style w:type="paragraph" w:customStyle="1" w:styleId="afffff5">
    <w:name w:val="封面正文"/>
    <w:qFormat/>
    <w:pPr>
      <w:jc w:val="both"/>
    </w:pPr>
    <w:rPr>
      <w:rFonts w:ascii="Times New Roman" w:eastAsia="宋体" w:hAnsi="Times New Roman" w:cs="Times New Roman"/>
    </w:rPr>
  </w:style>
  <w:style w:type="paragraph" w:customStyle="1" w:styleId="af8">
    <w:name w:val="附录标识"/>
    <w:basedOn w:val="aff2"/>
    <w:next w:val="afffe"/>
    <w:qFormat/>
    <w:pPr>
      <w:keepNext/>
      <w:widowControl/>
      <w:numPr>
        <w:numId w:val="10"/>
      </w:numPr>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afffff6">
    <w:name w:val="附录标题"/>
    <w:basedOn w:val="afffe"/>
    <w:next w:val="afffe"/>
    <w:qFormat/>
    <w:pPr>
      <w:ind w:firstLineChars="0" w:firstLine="0"/>
      <w:jc w:val="center"/>
    </w:pPr>
    <w:rPr>
      <w:rFonts w:ascii="黑体" w:eastAsia="黑体"/>
    </w:rPr>
  </w:style>
  <w:style w:type="paragraph" w:customStyle="1" w:styleId="af5">
    <w:name w:val="附录表标号"/>
    <w:basedOn w:val="aff2"/>
    <w:next w:val="afffe"/>
    <w:qFormat/>
    <w:pPr>
      <w:numPr>
        <w:numId w:val="11"/>
      </w:numPr>
      <w:tabs>
        <w:tab w:val="clear" w:pos="0"/>
      </w:tabs>
      <w:spacing w:line="14" w:lineRule="exact"/>
      <w:ind w:left="811" w:hanging="448"/>
      <w:jc w:val="center"/>
      <w:outlineLvl w:val="0"/>
    </w:pPr>
    <w:rPr>
      <w:rFonts w:ascii="Times New Roman" w:eastAsia="宋体" w:hAnsi="Times New Roman" w:cs="Times New Roman"/>
      <w:color w:val="FFFFFF"/>
      <w:szCs w:val="24"/>
    </w:rPr>
  </w:style>
  <w:style w:type="paragraph" w:customStyle="1" w:styleId="af6">
    <w:name w:val="附录表标题"/>
    <w:basedOn w:val="aff2"/>
    <w:next w:val="afffe"/>
    <w:qFormat/>
    <w:pPr>
      <w:numPr>
        <w:ilvl w:val="1"/>
        <w:numId w:val="11"/>
      </w:numPr>
      <w:tabs>
        <w:tab w:val="left" w:pos="180"/>
      </w:tabs>
      <w:spacing w:beforeLines="50" w:before="50" w:afterLines="50" w:after="50"/>
      <w:ind w:left="0" w:firstLine="0"/>
      <w:jc w:val="center"/>
    </w:pPr>
    <w:rPr>
      <w:rFonts w:ascii="黑体" w:eastAsia="黑体" w:hAnsi="Times New Roman" w:cs="Times New Roman"/>
      <w:szCs w:val="21"/>
    </w:rPr>
  </w:style>
  <w:style w:type="paragraph" w:customStyle="1" w:styleId="afb">
    <w:name w:val="附录二级条标题"/>
    <w:basedOn w:val="aff2"/>
    <w:next w:val="afffe"/>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hAnsi="Times New Roman" w:cs="Times New Roman"/>
      <w:kern w:val="21"/>
      <w:szCs w:val="20"/>
    </w:rPr>
  </w:style>
  <w:style w:type="paragraph" w:customStyle="1" w:styleId="afffff7">
    <w:name w:val="附录二级无"/>
    <w:basedOn w:val="afb"/>
    <w:qFormat/>
    <w:pPr>
      <w:tabs>
        <w:tab w:val="clear" w:pos="360"/>
      </w:tabs>
      <w:spacing w:beforeLines="0" w:before="0" w:afterLines="0" w:after="0"/>
    </w:pPr>
    <w:rPr>
      <w:rFonts w:ascii="宋体" w:eastAsia="宋体"/>
      <w:szCs w:val="21"/>
    </w:rPr>
  </w:style>
  <w:style w:type="paragraph" w:customStyle="1" w:styleId="afffff8">
    <w:name w:val="附录公式"/>
    <w:basedOn w:val="afffe"/>
    <w:next w:val="afffe"/>
    <w:link w:val="Char0"/>
    <w:qFormat/>
    <w:pPr>
      <w:ind w:firstLine="200"/>
      <w:jc w:val="right"/>
    </w:pPr>
    <w:rPr>
      <w:rFonts w:ascii="Times New Roman"/>
      <w:sz w:val="20"/>
    </w:rPr>
  </w:style>
  <w:style w:type="character" w:customStyle="1" w:styleId="Char0">
    <w:name w:val="附录公式 Char"/>
    <w:link w:val="afffff8"/>
    <w:qFormat/>
    <w:rPr>
      <w:rFonts w:ascii="Times New Roman" w:eastAsia="宋体" w:hAnsi="Times New Roman" w:cs="Times New Roman"/>
    </w:rPr>
  </w:style>
  <w:style w:type="paragraph" w:customStyle="1" w:styleId="afffff9">
    <w:name w:val="附录公式编号制表符"/>
    <w:basedOn w:val="aff2"/>
    <w:next w:val="afffe"/>
    <w:qFormat/>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c">
    <w:name w:val="附录三级条标题"/>
    <w:basedOn w:val="afb"/>
    <w:next w:val="afffe"/>
    <w:qFormat/>
    <w:pPr>
      <w:numPr>
        <w:ilvl w:val="4"/>
      </w:numPr>
      <w:outlineLvl w:val="4"/>
    </w:pPr>
  </w:style>
  <w:style w:type="paragraph" w:customStyle="1" w:styleId="afffffa">
    <w:name w:val="附录三级无"/>
    <w:basedOn w:val="afc"/>
    <w:qFormat/>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12"/>
      </w:numPr>
    </w:pPr>
    <w:rPr>
      <w:rFonts w:ascii="宋体" w:eastAsia="宋体" w:hAnsi="Times New Roman" w:cs="Times New Roman"/>
      <w:sz w:val="21"/>
    </w:rPr>
  </w:style>
  <w:style w:type="paragraph" w:customStyle="1" w:styleId="afd">
    <w:name w:val="附录四级条标题"/>
    <w:basedOn w:val="afc"/>
    <w:next w:val="afffe"/>
    <w:qFormat/>
    <w:pPr>
      <w:numPr>
        <w:ilvl w:val="5"/>
      </w:numPr>
      <w:outlineLvl w:val="5"/>
    </w:pPr>
  </w:style>
  <w:style w:type="paragraph" w:customStyle="1" w:styleId="afffffb">
    <w:name w:val="附录四级无"/>
    <w:basedOn w:val="afd"/>
    <w:qFormat/>
    <w:pPr>
      <w:tabs>
        <w:tab w:val="clear" w:pos="360"/>
      </w:tabs>
      <w:spacing w:beforeLines="0" w:before="0" w:afterLines="0" w:after="0"/>
    </w:pPr>
    <w:rPr>
      <w:rFonts w:ascii="宋体" w:eastAsia="宋体"/>
      <w:szCs w:val="21"/>
    </w:rPr>
  </w:style>
  <w:style w:type="paragraph" w:customStyle="1" w:styleId="aa">
    <w:name w:val="附录图标号"/>
    <w:basedOn w:val="aff2"/>
    <w:qFormat/>
    <w:pPr>
      <w:keepNext/>
      <w:pageBreakBefore/>
      <w:widowControl/>
      <w:numPr>
        <w:numId w:val="13"/>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b">
    <w:name w:val="附录图标题"/>
    <w:basedOn w:val="aff2"/>
    <w:next w:val="afffe"/>
    <w:qFormat/>
    <w:pPr>
      <w:numPr>
        <w:ilvl w:val="1"/>
        <w:numId w:val="13"/>
      </w:numPr>
      <w:tabs>
        <w:tab w:val="left" w:pos="363"/>
      </w:tabs>
      <w:spacing w:beforeLines="50" w:before="50" w:afterLines="50" w:after="50"/>
      <w:jc w:val="center"/>
    </w:pPr>
    <w:rPr>
      <w:rFonts w:ascii="黑体" w:eastAsia="黑体" w:hAnsi="Times New Roman" w:cs="Times New Roman"/>
      <w:szCs w:val="21"/>
    </w:rPr>
  </w:style>
  <w:style w:type="paragraph" w:customStyle="1" w:styleId="afe">
    <w:name w:val="附录五级条标题"/>
    <w:basedOn w:val="afd"/>
    <w:next w:val="afffe"/>
    <w:qFormat/>
    <w:pPr>
      <w:numPr>
        <w:ilvl w:val="6"/>
      </w:numPr>
      <w:outlineLvl w:val="6"/>
    </w:pPr>
  </w:style>
  <w:style w:type="paragraph" w:customStyle="1" w:styleId="afffffc">
    <w:name w:val="附录五级无"/>
    <w:basedOn w:val="afe"/>
    <w:qFormat/>
    <w:pPr>
      <w:tabs>
        <w:tab w:val="clear" w:pos="360"/>
      </w:tabs>
      <w:spacing w:beforeLines="0" w:before="0" w:afterLines="0" w:after="0"/>
    </w:pPr>
    <w:rPr>
      <w:rFonts w:ascii="宋体" w:eastAsia="宋体"/>
      <w:szCs w:val="21"/>
    </w:rPr>
  </w:style>
  <w:style w:type="paragraph" w:customStyle="1" w:styleId="af9">
    <w:name w:val="附录章标题"/>
    <w:next w:val="afffe"/>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 w:val="21"/>
    </w:rPr>
  </w:style>
  <w:style w:type="paragraph" w:customStyle="1" w:styleId="afa">
    <w:name w:val="附录一级条标题"/>
    <w:basedOn w:val="af9"/>
    <w:next w:val="afffe"/>
    <w:qFormat/>
    <w:pPr>
      <w:numPr>
        <w:ilvl w:val="2"/>
      </w:numPr>
      <w:autoSpaceDN w:val="0"/>
      <w:spacing w:beforeLines="50" w:before="50" w:afterLines="50" w:after="50"/>
      <w:outlineLvl w:val="2"/>
    </w:pPr>
  </w:style>
  <w:style w:type="paragraph" w:customStyle="1" w:styleId="afffffd">
    <w:name w:val="附录一级无"/>
    <w:basedOn w:val="afa"/>
    <w:qFormat/>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2"/>
      </w:numPr>
    </w:pPr>
    <w:rPr>
      <w:rFonts w:ascii="宋体" w:eastAsia="宋体" w:hAnsi="Times New Roman" w:cs="Times New Roman"/>
      <w:sz w:val="21"/>
    </w:rPr>
  </w:style>
  <w:style w:type="paragraph" w:customStyle="1" w:styleId="afffffe">
    <w:name w:val="列项说明"/>
    <w:basedOn w:val="aff2"/>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
    <w:name w:val="列项说明数字编号"/>
    <w:qFormat/>
    <w:pPr>
      <w:ind w:leftChars="400" w:left="600" w:hangingChars="200" w:hanging="200"/>
    </w:pPr>
    <w:rPr>
      <w:rFonts w:ascii="宋体" w:eastAsia="宋体" w:hAnsi="Times New Roman" w:cs="Times New Roman"/>
      <w:sz w:val="21"/>
    </w:rPr>
  </w:style>
  <w:style w:type="paragraph" w:customStyle="1" w:styleId="affffff0">
    <w:name w:val="目次、索引正文"/>
    <w:qFormat/>
    <w:pPr>
      <w:spacing w:line="320" w:lineRule="exact"/>
      <w:jc w:val="both"/>
    </w:pPr>
    <w:rPr>
      <w:rFonts w:ascii="宋体" w:eastAsia="宋体" w:hAnsi="Times New Roman" w:cs="Times New Roman"/>
      <w:sz w:val="21"/>
    </w:rPr>
  </w:style>
  <w:style w:type="paragraph" w:customStyle="1" w:styleId="affffff1">
    <w:name w:val="其他标准标志"/>
    <w:basedOn w:val="affff5"/>
    <w:qFormat/>
    <w:pPr>
      <w:framePr w:w="6101" w:wrap="around" w:vAnchor="page" w:hAnchor="page" w:x="4673" w:y="942"/>
    </w:pPr>
    <w:rPr>
      <w:w w:val="130"/>
    </w:rPr>
  </w:style>
  <w:style w:type="paragraph" w:customStyle="1" w:styleId="affffff2">
    <w:name w:val="其他标准称谓"/>
    <w:next w:val="aff2"/>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3">
    <w:name w:val="其他发布部门"/>
    <w:basedOn w:val="affffd"/>
    <w:qFormat/>
    <w:pPr>
      <w:framePr w:wrap="around" w:y="15310"/>
      <w:spacing w:line="0" w:lineRule="atLeast"/>
    </w:pPr>
    <w:rPr>
      <w:rFonts w:ascii="黑体" w:eastAsia="黑体"/>
      <w:b w:val="0"/>
    </w:rPr>
  </w:style>
  <w:style w:type="paragraph" w:customStyle="1" w:styleId="affffff4">
    <w:name w:val="前言、引言标题"/>
    <w:next w:val="afffe"/>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5">
    <w:name w:val="三级无"/>
    <w:basedOn w:val="a7"/>
    <w:qFormat/>
    <w:pPr>
      <w:spacing w:beforeLines="0" w:before="0" w:afterLines="0" w:after="0"/>
    </w:pPr>
    <w:rPr>
      <w:rFonts w:ascii="宋体" w:eastAsia="宋体"/>
    </w:rPr>
  </w:style>
  <w:style w:type="paragraph" w:customStyle="1" w:styleId="affffff6">
    <w:name w:val="实施日期"/>
    <w:basedOn w:val="affffe"/>
    <w:qFormat/>
    <w:pPr>
      <w:framePr w:wrap="around" w:vAnchor="page" w:hAnchor="text"/>
      <w:jc w:val="right"/>
    </w:pPr>
  </w:style>
  <w:style w:type="paragraph" w:customStyle="1" w:styleId="affffff7">
    <w:name w:val="示例后文字"/>
    <w:basedOn w:val="afffe"/>
    <w:next w:val="afffe"/>
    <w:qFormat/>
    <w:pPr>
      <w:ind w:firstLine="360"/>
    </w:pPr>
    <w:rPr>
      <w:sz w:val="18"/>
    </w:rPr>
  </w:style>
  <w:style w:type="paragraph" w:customStyle="1" w:styleId="a0">
    <w:name w:val="首示例"/>
    <w:next w:val="afffe"/>
    <w:link w:val="Char1"/>
    <w:qFormat/>
    <w:pPr>
      <w:numPr>
        <w:numId w:val="14"/>
      </w:numPr>
      <w:tabs>
        <w:tab w:val="left" w:pos="360"/>
      </w:tabs>
      <w:ind w:firstLine="0"/>
    </w:pPr>
    <w:rPr>
      <w:rFonts w:ascii="宋体" w:eastAsia="宋体" w:hAnsi="宋体" w:cs="Times New Roman"/>
      <w:kern w:val="2"/>
      <w:sz w:val="18"/>
      <w:szCs w:val="18"/>
    </w:rPr>
  </w:style>
  <w:style w:type="character" w:customStyle="1" w:styleId="Char1">
    <w:name w:val="首示例 Char"/>
    <w:link w:val="a0"/>
    <w:qFormat/>
    <w:rPr>
      <w:rFonts w:ascii="宋体" w:eastAsia="宋体" w:hAnsi="宋体" w:cs="Times New Roman"/>
      <w:sz w:val="18"/>
      <w:szCs w:val="18"/>
    </w:rPr>
  </w:style>
  <w:style w:type="paragraph" w:customStyle="1" w:styleId="affffff8">
    <w:name w:val="四级无"/>
    <w:basedOn w:val="a8"/>
    <w:qFormat/>
    <w:pPr>
      <w:spacing w:beforeLines="0" w:before="0" w:afterLines="0" w:after="0"/>
    </w:pPr>
    <w:rPr>
      <w:rFonts w:ascii="宋体" w:eastAsia="宋体"/>
    </w:rPr>
  </w:style>
  <w:style w:type="paragraph" w:customStyle="1" w:styleId="affffff9">
    <w:name w:val="条文脚注"/>
    <w:basedOn w:val="af"/>
    <w:qFormat/>
    <w:pPr>
      <w:numPr>
        <w:numId w:val="0"/>
      </w:numPr>
      <w:jc w:val="both"/>
    </w:pPr>
  </w:style>
  <w:style w:type="paragraph" w:customStyle="1" w:styleId="affffffa">
    <w:name w:val="图标脚注说明"/>
    <w:basedOn w:val="afffe"/>
    <w:qFormat/>
    <w:pPr>
      <w:ind w:left="840" w:firstLineChars="0" w:hanging="420"/>
    </w:pPr>
    <w:rPr>
      <w:sz w:val="18"/>
      <w:szCs w:val="18"/>
    </w:rPr>
  </w:style>
  <w:style w:type="paragraph" w:customStyle="1" w:styleId="a2">
    <w:name w:val="图表脚注说明"/>
    <w:basedOn w:val="aff2"/>
    <w:qFormat/>
    <w:pPr>
      <w:numPr>
        <w:numId w:val="15"/>
      </w:numPr>
    </w:pPr>
    <w:rPr>
      <w:rFonts w:ascii="宋体" w:eastAsia="宋体" w:hAnsi="Times New Roman" w:cs="Times New Roman"/>
      <w:sz w:val="18"/>
      <w:szCs w:val="18"/>
    </w:rPr>
  </w:style>
  <w:style w:type="paragraph" w:customStyle="1" w:styleId="affffffb">
    <w:name w:val="图的脚注"/>
    <w:next w:val="afffe"/>
    <w:qFormat/>
    <w:pPr>
      <w:widowControl w:val="0"/>
      <w:ind w:leftChars="200" w:left="840" w:hangingChars="200" w:hanging="420"/>
      <w:jc w:val="both"/>
    </w:pPr>
    <w:rPr>
      <w:rFonts w:ascii="宋体" w:eastAsia="宋体" w:hAnsi="Times New Roman" w:cs="Times New Roman"/>
      <w:sz w:val="18"/>
    </w:rPr>
  </w:style>
  <w:style w:type="paragraph" w:customStyle="1" w:styleId="affffffc">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9"/>
    <w:qFormat/>
    <w:pPr>
      <w:spacing w:beforeLines="0" w:before="0" w:afterLines="0" w:after="0"/>
    </w:pPr>
    <w:rPr>
      <w:rFonts w:ascii="宋体" w:eastAsia="宋体"/>
    </w:rPr>
  </w:style>
  <w:style w:type="paragraph" w:customStyle="1" w:styleId="affffffe">
    <w:name w:val="一级无"/>
    <w:basedOn w:val="a5"/>
    <w:qFormat/>
    <w:pPr>
      <w:spacing w:beforeLines="0" w:before="0" w:afterLines="0" w:after="0"/>
    </w:pPr>
    <w:rPr>
      <w:rFonts w:ascii="宋体" w:eastAsia="宋体"/>
    </w:rPr>
  </w:style>
  <w:style w:type="paragraph" w:customStyle="1" w:styleId="af7">
    <w:name w:val="正文表标题"/>
    <w:next w:val="afffe"/>
    <w:qFormat/>
    <w:pPr>
      <w:numPr>
        <w:numId w:val="16"/>
      </w:numPr>
      <w:tabs>
        <w:tab w:val="left" w:pos="360"/>
      </w:tabs>
      <w:spacing w:beforeLines="50" w:before="156" w:afterLines="50" w:after="156"/>
      <w:jc w:val="center"/>
    </w:pPr>
    <w:rPr>
      <w:rFonts w:ascii="黑体" w:eastAsia="黑体" w:hAnsi="Times New Roman" w:cs="Times New Roman"/>
      <w:sz w:val="21"/>
    </w:rPr>
  </w:style>
  <w:style w:type="paragraph" w:customStyle="1" w:styleId="afffffff">
    <w:name w:val="正文公式编号制表符"/>
    <w:basedOn w:val="afffe"/>
    <w:next w:val="afffe"/>
    <w:qFormat/>
    <w:pPr>
      <w:ind w:firstLineChars="0" w:firstLine="0"/>
    </w:pPr>
  </w:style>
  <w:style w:type="paragraph" w:customStyle="1" w:styleId="af4">
    <w:name w:val="正文图标题"/>
    <w:next w:val="afffe"/>
    <w:qFormat/>
    <w:pPr>
      <w:numPr>
        <w:numId w:val="17"/>
      </w:numPr>
      <w:tabs>
        <w:tab w:val="left" w:pos="360"/>
      </w:tabs>
      <w:spacing w:beforeLines="50" w:before="156" w:afterLines="50" w:after="156"/>
      <w:jc w:val="center"/>
    </w:pPr>
    <w:rPr>
      <w:rFonts w:ascii="黑体" w:eastAsia="黑体" w:hAnsi="Times New Roman" w:cs="Times New Roman"/>
      <w:sz w:val="21"/>
    </w:rPr>
  </w:style>
  <w:style w:type="paragraph" w:customStyle="1" w:styleId="afffffff0">
    <w:name w:val="终结线"/>
    <w:basedOn w:val="aff2"/>
    <w:qFormat/>
    <w:pPr>
      <w:framePr w:hSpace="181" w:vSpace="181" w:wrap="around" w:vAnchor="text" w:hAnchor="margin" w:xAlign="center" w:y="285"/>
    </w:pPr>
    <w:rPr>
      <w:rFonts w:ascii="Times New Roman" w:eastAsia="宋体" w:hAnsi="Times New Roman" w:cs="Times New Roman"/>
      <w:szCs w:val="24"/>
    </w:rPr>
  </w:style>
  <w:style w:type="paragraph" w:customStyle="1" w:styleId="afffffff1">
    <w:name w:val="其他发布日期"/>
    <w:basedOn w:val="affffe"/>
    <w:qFormat/>
    <w:pPr>
      <w:framePr w:wrap="around" w:vAnchor="page" w:hAnchor="text" w:x="1419"/>
    </w:pPr>
  </w:style>
  <w:style w:type="paragraph" w:customStyle="1" w:styleId="afffffff2">
    <w:name w:val="其他实施日期"/>
    <w:basedOn w:val="affffff6"/>
    <w:qFormat/>
    <w:pPr>
      <w:framePr w:wrap="around"/>
    </w:pPr>
  </w:style>
  <w:style w:type="paragraph" w:customStyle="1" w:styleId="23">
    <w:name w:val="封面标准名称2"/>
    <w:basedOn w:val="afffff0"/>
    <w:qFormat/>
    <w:pPr>
      <w:framePr w:wrap="around" w:y="4469"/>
      <w:spacing w:beforeLines="630" w:before="630"/>
    </w:pPr>
  </w:style>
  <w:style w:type="paragraph" w:customStyle="1" w:styleId="24">
    <w:name w:val="封面标准英文名称2"/>
    <w:basedOn w:val="afffff1"/>
    <w:qFormat/>
    <w:pPr>
      <w:framePr w:wrap="around" w:y="4469"/>
    </w:pPr>
  </w:style>
  <w:style w:type="paragraph" w:customStyle="1" w:styleId="25">
    <w:name w:val="封面一致性程度标识2"/>
    <w:basedOn w:val="afffff2"/>
    <w:qFormat/>
    <w:pPr>
      <w:framePr w:wrap="around" w:y="4469"/>
    </w:pPr>
  </w:style>
  <w:style w:type="paragraph" w:customStyle="1" w:styleId="26">
    <w:name w:val="封面标准文稿类别2"/>
    <w:basedOn w:val="afffff3"/>
    <w:qFormat/>
    <w:pPr>
      <w:framePr w:wrap="around" w:y="4469"/>
    </w:pPr>
  </w:style>
  <w:style w:type="paragraph" w:customStyle="1" w:styleId="27">
    <w:name w:val="封面标准文稿编辑信息2"/>
    <w:basedOn w:val="afffff4"/>
    <w:qFormat/>
    <w:pPr>
      <w:framePr w:wrap="around" w:y="4469"/>
    </w:pPr>
  </w:style>
  <w:style w:type="paragraph" w:customStyle="1" w:styleId="0505">
    <w:name w:val="样式 一级条标题 + 段前: 0.5 行 段后: 0.5 行"/>
    <w:basedOn w:val="a5"/>
    <w:qFormat/>
    <w:pPr>
      <w:numPr>
        <w:numId w:val="1"/>
      </w:numPr>
      <w:tabs>
        <w:tab w:val="left" w:pos="0"/>
      </w:tabs>
      <w:spacing w:before="50" w:after="50"/>
    </w:pPr>
    <w:rPr>
      <w:rFonts w:cs="宋体"/>
      <w:szCs w:val="20"/>
    </w:rPr>
  </w:style>
  <w:style w:type="character" w:customStyle="1" w:styleId="affe">
    <w:name w:val="批注框文本 字符"/>
    <w:basedOn w:val="aff3"/>
    <w:link w:val="affd"/>
    <w:qFormat/>
    <w:rPr>
      <w:rFonts w:ascii="Times New Roman" w:eastAsia="宋体" w:hAnsi="Times New Roman" w:cs="Times New Roman"/>
      <w:sz w:val="18"/>
      <w:szCs w:val="18"/>
      <w:lang w:val="zh-CN" w:eastAsia="zh-CN"/>
    </w:rPr>
  </w:style>
  <w:style w:type="character" w:styleId="afffffff3">
    <w:name w:val="Placeholder Text"/>
    <w:basedOn w:val="aff3"/>
    <w:uiPriority w:val="99"/>
    <w:unhideWhenUsed/>
    <w:qFormat/>
    <w:rPr>
      <w:color w:val="808080"/>
    </w:rPr>
  </w:style>
  <w:style w:type="paragraph" w:customStyle="1" w:styleId="afffffff4">
    <w:name w:val="右"/>
    <w:basedOn w:val="afffe"/>
    <w:qFormat/>
    <w:pPr>
      <w:adjustRightInd w:val="0"/>
      <w:snapToGrid w:val="0"/>
      <w:spacing w:line="360" w:lineRule="auto"/>
      <w:ind w:firstLineChars="0" w:firstLine="0"/>
      <w:jc w:val="right"/>
    </w:pPr>
  </w:style>
  <w:style w:type="paragraph" w:customStyle="1" w:styleId="2">
    <w:name w:val="附录标标题2"/>
    <w:basedOn w:val="af6"/>
    <w:qFormat/>
    <w:pPr>
      <w:numPr>
        <w:ilvl w:val="0"/>
        <w:numId w:val="18"/>
      </w:numPr>
      <w:spacing w:before="156" w:after="156"/>
    </w:pPr>
  </w:style>
  <w:style w:type="paragraph" w:styleId="afffffff5">
    <w:name w:val="List Paragraph"/>
    <w:basedOn w:val="aff2"/>
    <w:uiPriority w:val="99"/>
    <w:qFormat/>
    <w:pPr>
      <w:ind w:firstLineChars="200" w:firstLine="420"/>
    </w:pPr>
  </w:style>
  <w:style w:type="character" w:customStyle="1" w:styleId="affa">
    <w:name w:val="批注文字 字符"/>
    <w:basedOn w:val="aff3"/>
    <w:link w:val="aff9"/>
    <w:uiPriority w:val="99"/>
    <w:semiHidden/>
    <w:qFormat/>
    <w:rPr>
      <w:kern w:val="2"/>
      <w:sz w:val="21"/>
      <w:szCs w:val="22"/>
    </w:rPr>
  </w:style>
  <w:style w:type="character" w:customStyle="1" w:styleId="afff6">
    <w:name w:val="批注主题 字符"/>
    <w:basedOn w:val="affa"/>
    <w:link w:val="afff5"/>
    <w:uiPriority w:val="99"/>
    <w:semiHidden/>
    <w:qFormat/>
    <w:rPr>
      <w:b/>
      <w:bCs/>
      <w:kern w:val="2"/>
      <w:sz w:val="21"/>
      <w:szCs w:val="22"/>
    </w:rPr>
  </w:style>
  <w:style w:type="paragraph" w:customStyle="1" w:styleId="afffffff6">
    <w:name w:val="标准文件_段"/>
    <w:qFormat/>
    <w:pPr>
      <w:autoSpaceDE w:val="0"/>
      <w:autoSpaceDN w:val="0"/>
      <w:ind w:firstLineChars="200" w:firstLine="200"/>
      <w:jc w:val="both"/>
    </w:pPr>
    <w:rPr>
      <w:rFonts w:ascii="宋体" w:eastAsia="宋体" w:hAnsi="Times New Roman" w:cs="Times New Roman"/>
      <w:sz w:val="21"/>
      <w:lang w:eastAsia="ja-JP"/>
    </w:rPr>
  </w:style>
  <w:style w:type="paragraph" w:customStyle="1" w:styleId="12">
    <w:name w:val="修订1"/>
    <w:hidden/>
    <w:uiPriority w:val="99"/>
    <w:unhideWhenUsed/>
    <w:qFormat/>
    <w:rPr>
      <w:kern w:val="2"/>
      <w:sz w:val="21"/>
      <w:szCs w:val="22"/>
    </w:rPr>
  </w:style>
  <w:style w:type="paragraph" w:customStyle="1" w:styleId="28">
    <w:name w:val="修订2"/>
    <w:hidden/>
    <w:uiPriority w:val="99"/>
    <w:unhideWhenUsed/>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3820</Words>
  <Characters>4394</Characters>
  <Application>Microsoft Office Word</Application>
  <DocSecurity>0</DocSecurity>
  <Lines>258</Lines>
  <Paragraphs>391</Paragraphs>
  <ScaleCrop>false</ScaleCrop>
  <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Yan.Y FU.</cp:lastModifiedBy>
  <cp:revision>6</cp:revision>
  <cp:lastPrinted>2025-03-19T06:37:00Z</cp:lastPrinted>
  <dcterms:created xsi:type="dcterms:W3CDTF">2025-03-19T06:37:00Z</dcterms:created>
  <dcterms:modified xsi:type="dcterms:W3CDTF">2025-04-07T06:45:00Z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315DBF15B5604B50B770869592724740_13</vt:lpwstr>
  </property>
  <property fmtid="{D5CDD505-2E9C-101B-9397-08002B2CF9AE}" pid="4" name="MTWinEqns">
    <vt:bool>true</vt:bool>
  </property>
  <property fmtid="{D5CDD505-2E9C-101B-9397-08002B2CF9AE}" pid="5" name="KSOTemplateDocerSaveRecord">
    <vt:lpwstr>eyJoZGlkIjoiNzcwOTQ4YWY0MzQ5MTgzYjFiY2VkYWNkMjE0NGZmZTIiLCJ1c2VySWQiOiIyNDMzNzI1MjUifQ==</vt:lpwstr>
  </property>
</Properties>
</file>